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bookmarkStart w:id="0" w:name="_GoBack"/>
      <w:bookmarkEnd w:id="0"/>
      <w:r>
        <w:rPr>
          <w:rFonts w:ascii="华文中宋" w:eastAsia="华文中宋" w:hAnsi="华文中宋" w:cs="华文中宋" w:hint="eastAsia"/>
          <w:b/>
          <w:sz w:val="32"/>
          <w:szCs w:val="32"/>
        </w:rPr>
        <w:t>苏州国芯科技股份有限公司</w:t>
      </w:r>
    </w:p>
    <w:p w14:paraId="0658252B" w14:textId="0688FC72" w:rsidR="003B1D4A" w:rsidRDefault="00606E9E"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Pr>
          <w:rFonts w:ascii="华文中宋" w:eastAsia="华文中宋" w:hAnsi="华文中宋" w:cs="华文中宋"/>
          <w:b/>
          <w:sz w:val="32"/>
          <w:szCs w:val="32"/>
        </w:rPr>
        <w:t>5</w:t>
      </w:r>
      <w:r w:rsidR="00AC7EAB">
        <w:rPr>
          <w:rFonts w:ascii="华文中宋" w:eastAsia="华文中宋" w:hAnsi="华文中宋" w:cs="华文中宋" w:hint="eastAsia"/>
          <w:b/>
          <w:sz w:val="32"/>
          <w:szCs w:val="32"/>
        </w:rPr>
        <w:t>月</w:t>
      </w:r>
      <w:r>
        <w:rPr>
          <w:rFonts w:ascii="华文中宋" w:eastAsia="华文中宋" w:hAnsi="华文中宋" w:cs="华文中宋"/>
          <w:b/>
          <w:sz w:val="32"/>
          <w:szCs w:val="32"/>
        </w:rPr>
        <w:t>7</w:t>
      </w:r>
      <w:r w:rsidR="007765A5">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 w14:paraId="71A75326" w14:textId="26C0B238" w:rsidR="003B1D4A" w:rsidRDefault="003F2E6B">
      <w:pPr>
        <w:ind w:firstLine="241"/>
        <w:rPr>
          <w:rFonts w:cs="宋体"/>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606E9E">
        <w:rPr>
          <w:rFonts w:cs="宋体" w:hint="eastAsia"/>
          <w:b/>
          <w:bCs/>
        </w:rPr>
        <w:t>0</w:t>
      </w:r>
      <w:r w:rsidR="00606E9E">
        <w:rPr>
          <w:rFonts w:cs="宋体"/>
          <w:b/>
          <w:bCs/>
        </w:rPr>
        <w:t>11</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317"/>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b/>
                <w:bCs/>
              </w:rPr>
            </w:pPr>
            <w:r>
              <w:rPr>
                <w:b/>
                <w:bCs/>
              </w:rPr>
              <w:t>投资者关系活动类别</w:t>
            </w:r>
          </w:p>
        </w:tc>
        <w:tc>
          <w:tcPr>
            <w:tcW w:w="4248" w:type="pct"/>
          </w:tcPr>
          <w:p w14:paraId="66DA0B44" w14:textId="0BDF9CCC" w:rsidR="003B1D4A" w:rsidRDefault="00C24817">
            <w:pPr>
              <w:ind w:firstLineChars="0" w:firstLine="0"/>
            </w:pPr>
            <w:r>
              <w:rPr>
                <w:rFonts w:hint="eastAsia"/>
              </w:rPr>
              <w:t>√</w:t>
            </w:r>
            <w:r w:rsidR="003F2E6B">
              <w:t>特定对象调研        □分析师会议</w:t>
            </w:r>
          </w:p>
          <w:p w14:paraId="55EF2D6F" w14:textId="77777777" w:rsidR="003B1D4A" w:rsidRDefault="003F2E6B">
            <w:pPr>
              <w:ind w:firstLineChars="0" w:firstLine="0"/>
            </w:pPr>
            <w:r>
              <w:t xml:space="preserve">□媒体采访            </w:t>
            </w:r>
            <w:r>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□其他（请文字说明其他活动内容）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b/>
                <w:bCs/>
              </w:rPr>
            </w:pPr>
            <w:r>
              <w:rPr>
                <w:b/>
                <w:bCs/>
              </w:rPr>
              <w:t>参与单位名称</w:t>
            </w:r>
          </w:p>
        </w:tc>
        <w:tc>
          <w:tcPr>
            <w:tcW w:w="4248" w:type="pct"/>
            <w:vAlign w:val="center"/>
          </w:tcPr>
          <w:p w14:paraId="357DEEBF" w14:textId="215CE07C" w:rsidR="00E869B5" w:rsidRPr="00080090" w:rsidRDefault="00A0677B" w:rsidP="00A0677B">
            <w:pPr>
              <w:ind w:firstLineChars="0" w:firstLine="0"/>
            </w:pPr>
            <w:bookmarkStart w:id="1" w:name="OLE_LINK1"/>
            <w:bookmarkStart w:id="2" w:name="OLE_LINK2"/>
            <w:r>
              <w:t>博时基金；</w:t>
            </w:r>
            <w:bookmarkEnd w:id="1"/>
            <w:bookmarkEnd w:id="2"/>
            <w:r w:rsidR="009B3604">
              <w:t>摩根</w:t>
            </w:r>
            <w:r w:rsidR="00A16287">
              <w:rPr>
                <w:rFonts w:hint="eastAsia"/>
              </w:rPr>
              <w:t>基金</w:t>
            </w:r>
            <w:r w:rsidR="00A16287">
              <w:t>；银河基金；</w:t>
            </w:r>
            <w:r w:rsidRPr="00A0677B">
              <w:rPr>
                <w:rFonts w:hint="eastAsia"/>
              </w:rPr>
              <w:t>国泰基金；</w:t>
            </w:r>
            <w:r w:rsidR="00A16287">
              <w:t>华福证券；大朴资产；兴银理财；山西证券；国海证券；上海复胜资产管理合伙企业（有限合伙）；平安财智投资管理有限公司；</w:t>
            </w:r>
            <w:r>
              <w:t>西部证券；上海左道投资管理有限公司</w:t>
            </w:r>
            <w:r w:rsidR="00400AE2">
              <w:t>。</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b/>
                <w:bCs/>
              </w:rPr>
            </w:pPr>
            <w:r w:rsidRPr="00642DC5">
              <w:rPr>
                <w:b/>
                <w:bCs/>
              </w:rPr>
              <w:t>时间</w:t>
            </w:r>
          </w:p>
        </w:tc>
        <w:tc>
          <w:tcPr>
            <w:tcW w:w="4248" w:type="pct"/>
            <w:vAlign w:val="center"/>
          </w:tcPr>
          <w:p w14:paraId="6C32DD5E" w14:textId="05847584" w:rsidR="003B1D4A" w:rsidRPr="00642DC5" w:rsidRDefault="00606E9E" w:rsidP="00A0677B">
            <w:pPr>
              <w:ind w:firstLineChars="0" w:firstLine="0"/>
            </w:pPr>
            <w:r w:rsidRPr="00642DC5">
              <w:rPr>
                <w:rFonts w:hint="eastAsia"/>
              </w:rPr>
              <w:t>2</w:t>
            </w:r>
            <w:r w:rsidRPr="00642DC5">
              <w:t>02</w:t>
            </w:r>
            <w:r>
              <w:t>5</w:t>
            </w:r>
            <w:r w:rsidRPr="00642DC5">
              <w:t>年</w:t>
            </w:r>
            <w:r>
              <w:t>5</w:t>
            </w:r>
            <w:r w:rsidR="00E14852" w:rsidRPr="00642DC5">
              <w:rPr>
                <w:rFonts w:hint="eastAsia"/>
              </w:rPr>
              <w:t>月</w:t>
            </w:r>
            <w:r>
              <w:t>7</w:t>
            </w:r>
            <w:r w:rsidR="00273119" w:rsidRPr="00642DC5">
              <w:t>日</w:t>
            </w:r>
            <w:r>
              <w:rPr>
                <w:rFonts w:hint="eastAsia"/>
              </w:rPr>
              <w:t>1</w:t>
            </w:r>
            <w:r>
              <w:t>0</w:t>
            </w:r>
            <w:r w:rsidR="00721E89">
              <w:rPr>
                <w:rFonts w:hint="eastAsia"/>
              </w:rPr>
              <w:t>：00</w:t>
            </w:r>
            <w:r w:rsidR="00E14852">
              <w:rPr>
                <w:rFonts w:hint="eastAsia"/>
              </w:rPr>
              <w:t>；</w:t>
            </w:r>
            <w:r>
              <w:rPr>
                <w:rFonts w:hint="eastAsia"/>
              </w:rPr>
              <w:t>2</w:t>
            </w:r>
            <w:r>
              <w:t>025年5</w:t>
            </w:r>
            <w:r w:rsidR="00E14852">
              <w:rPr>
                <w:rFonts w:hint="eastAsia"/>
              </w:rPr>
              <w:t>月</w:t>
            </w:r>
            <w:r>
              <w:t>7</w:t>
            </w:r>
            <w:r w:rsidR="00E14852">
              <w:t>日</w:t>
            </w:r>
            <w:r>
              <w:rPr>
                <w:rFonts w:hint="eastAsia"/>
              </w:rPr>
              <w:t>1</w:t>
            </w:r>
            <w:r>
              <w:t>3</w:t>
            </w:r>
            <w:r w:rsidR="00E14852">
              <w:t>:00</w:t>
            </w:r>
            <w:r w:rsidR="00FB1841">
              <w:t>；</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b/>
                <w:bCs/>
              </w:rPr>
            </w:pPr>
            <w:r>
              <w:rPr>
                <w:b/>
                <w:bCs/>
              </w:rPr>
              <w:t>地点</w:t>
            </w:r>
          </w:p>
        </w:tc>
        <w:tc>
          <w:tcPr>
            <w:tcW w:w="4248" w:type="pct"/>
            <w:vAlign w:val="center"/>
          </w:tcPr>
          <w:p w14:paraId="4A722927" w14:textId="459CF5AF" w:rsidR="003B1D4A" w:rsidRDefault="00083DD0" w:rsidP="00A0677B">
            <w:pPr>
              <w:ind w:firstLineChars="0" w:firstLine="0"/>
            </w:pPr>
            <w:r>
              <w:rPr>
                <w:rFonts w:hint="eastAsia"/>
              </w:rPr>
              <w:t>现场</w:t>
            </w:r>
            <w:r w:rsidR="00EB4D08">
              <w:rPr>
                <w:rFonts w:hint="eastAsia"/>
              </w:rPr>
              <w:t>交流</w:t>
            </w:r>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b/>
                <w:bCs/>
              </w:rPr>
            </w:pPr>
            <w:r>
              <w:rPr>
                <w:b/>
                <w:bCs/>
              </w:rPr>
              <w:t>上市公司参加人员姓名</w:t>
            </w:r>
          </w:p>
        </w:tc>
        <w:tc>
          <w:tcPr>
            <w:tcW w:w="4248" w:type="pct"/>
            <w:vAlign w:val="center"/>
          </w:tcPr>
          <w:p w14:paraId="49BFF728" w14:textId="6E9DE42E" w:rsidR="00DD5B0E" w:rsidRDefault="00DD5B0E" w:rsidP="00EB4D08">
            <w:pPr>
              <w:ind w:firstLineChars="0" w:firstLine="0"/>
            </w:pPr>
            <w:r>
              <w:t>证券事务代表：龚小刚</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pPr>
            <w:r>
              <w:rPr>
                <w:b/>
                <w:bCs/>
              </w:rPr>
              <w:t>投资者关系活动主要内容介绍</w:t>
            </w:r>
          </w:p>
        </w:tc>
        <w:tc>
          <w:tcPr>
            <w:tcW w:w="4248" w:type="pct"/>
          </w:tcPr>
          <w:p w14:paraId="1262C0AB" w14:textId="767BDC01" w:rsidR="0077475E" w:rsidRDefault="00D14EAE" w:rsidP="00085A0F">
            <w:pPr>
              <w:adjustRightInd w:val="0"/>
              <w:snapToGrid w:val="0"/>
              <w:ind w:firstLineChars="200" w:firstLine="482"/>
              <w:rPr>
                <w:rFonts w:asciiTheme="minorEastAsia" w:eastAsiaTheme="minorEastAsia" w:hAnsiTheme="minorEastAsia"/>
                <w:b/>
                <w:bCs/>
              </w:rPr>
            </w:pPr>
            <w:r>
              <w:rPr>
                <w:rFonts w:asciiTheme="minorEastAsia" w:eastAsiaTheme="minorEastAsia" w:hAnsiTheme="minorEastAsia" w:hint="eastAsia"/>
                <w:b/>
                <w:bCs/>
              </w:rPr>
              <w:t>1</w:t>
            </w:r>
            <w:r w:rsidR="0077475E">
              <w:rPr>
                <w:rFonts w:asciiTheme="minorEastAsia" w:eastAsiaTheme="minorEastAsia" w:hAnsiTheme="minorEastAsia" w:hint="eastAsia"/>
                <w:b/>
                <w:bCs/>
              </w:rPr>
              <w:t>、</w:t>
            </w:r>
            <w:r w:rsidR="009C24B7">
              <w:rPr>
                <w:rFonts w:asciiTheme="minorEastAsia" w:eastAsiaTheme="minorEastAsia" w:hAnsiTheme="minorEastAsia" w:hint="eastAsia"/>
                <w:b/>
                <w:bCs/>
              </w:rPr>
              <w:t>公司与参股公司信大壹密合作</w:t>
            </w:r>
            <w:r w:rsidR="00A113F2">
              <w:rPr>
                <w:rFonts w:asciiTheme="minorEastAsia" w:eastAsiaTheme="minorEastAsia" w:hAnsiTheme="minorEastAsia" w:hint="eastAsia"/>
                <w:b/>
                <w:bCs/>
              </w:rPr>
              <w:t>新近</w:t>
            </w:r>
            <w:r w:rsidR="009C24B7">
              <w:rPr>
                <w:rFonts w:asciiTheme="minorEastAsia" w:eastAsiaTheme="minorEastAsia" w:hAnsiTheme="minorEastAsia" w:hint="eastAsia"/>
                <w:b/>
                <w:bCs/>
              </w:rPr>
              <w:t>推出的</w:t>
            </w:r>
            <w:r w:rsidR="009C24B7" w:rsidRPr="009C24B7">
              <w:rPr>
                <w:rFonts w:asciiTheme="minorEastAsia" w:eastAsiaTheme="minorEastAsia" w:hAnsiTheme="minorEastAsia" w:hint="eastAsia"/>
                <w:b/>
                <w:bCs/>
              </w:rPr>
              <w:t>抗量子密码芯片</w:t>
            </w:r>
            <w:r w:rsidR="009C24B7" w:rsidRPr="009C24B7">
              <w:rPr>
                <w:rFonts w:asciiTheme="minorEastAsia" w:eastAsiaTheme="minorEastAsia" w:hAnsiTheme="minorEastAsia"/>
                <w:b/>
                <w:bCs/>
              </w:rPr>
              <w:t>AHC001</w:t>
            </w:r>
            <w:r w:rsidR="009C24B7">
              <w:rPr>
                <w:rFonts w:asciiTheme="minorEastAsia" w:eastAsiaTheme="minorEastAsia" w:hAnsiTheme="minorEastAsia"/>
                <w:b/>
                <w:bCs/>
              </w:rPr>
              <w:t>的应用场景有哪些，该芯片与传统的信息安全</w:t>
            </w:r>
            <w:r w:rsidR="00793214">
              <w:rPr>
                <w:rFonts w:asciiTheme="minorEastAsia" w:eastAsiaTheme="minorEastAsia" w:hAnsiTheme="minorEastAsia"/>
                <w:b/>
                <w:bCs/>
              </w:rPr>
              <w:t>芯片有哪些差异，未来的发展趋势怎么样</w:t>
            </w:r>
            <w:r w:rsidR="00A113F2">
              <w:rPr>
                <w:rFonts w:asciiTheme="minorEastAsia" w:eastAsiaTheme="minorEastAsia" w:hAnsiTheme="minorEastAsia"/>
                <w:b/>
                <w:bCs/>
              </w:rPr>
              <w:t>，公司计划怎么去开拓市场</w:t>
            </w:r>
            <w:r w:rsidR="00400AE2">
              <w:rPr>
                <w:rFonts w:asciiTheme="minorEastAsia" w:eastAsiaTheme="minorEastAsia" w:hAnsiTheme="minorEastAsia" w:hint="eastAsia"/>
                <w:b/>
                <w:bCs/>
              </w:rPr>
              <w:t>？</w:t>
            </w:r>
          </w:p>
          <w:p w14:paraId="3B4742CF" w14:textId="7864E76E" w:rsidR="00757A7C" w:rsidRDefault="00400AE2" w:rsidP="00A0677B">
            <w:pPr>
              <w:adjustRightInd w:val="0"/>
              <w:snapToGrid w:val="0"/>
              <w:ind w:firstLineChars="200" w:firstLine="480"/>
              <w:rPr>
                <w:rFonts w:cs="宋体"/>
                <w:kern w:val="0"/>
                <w:szCs w:val="21"/>
              </w:rPr>
            </w:pPr>
            <w:r w:rsidRPr="00C62E7C">
              <w:rPr>
                <w:rFonts w:asciiTheme="minorEastAsia" w:eastAsiaTheme="minorEastAsia" w:hAnsiTheme="minorEastAsia"/>
                <w:bCs/>
              </w:rPr>
              <w:t>答：</w:t>
            </w:r>
            <w:r w:rsidR="001A1846" w:rsidRPr="001A1846">
              <w:rPr>
                <w:rFonts w:asciiTheme="minorEastAsia" w:eastAsiaTheme="minorEastAsia" w:hAnsiTheme="minorEastAsia" w:hint="eastAsia"/>
                <w:bCs/>
              </w:rPr>
              <w:t>公司与参股公司信大壹密合作推出的抗量子密码芯片</w:t>
            </w:r>
            <w:r w:rsidR="001A1846" w:rsidRPr="001A1846">
              <w:rPr>
                <w:rFonts w:asciiTheme="minorEastAsia" w:eastAsiaTheme="minorEastAsia" w:hAnsiTheme="minorEastAsia"/>
                <w:bCs/>
              </w:rPr>
              <w:t>AHC001</w:t>
            </w:r>
            <w:r w:rsidR="00757A7C" w:rsidRPr="00757A7C">
              <w:rPr>
                <w:rFonts w:asciiTheme="minorEastAsia" w:eastAsiaTheme="minorEastAsia" w:hAnsiTheme="minorEastAsia" w:hint="eastAsia"/>
                <w:bCs/>
              </w:rPr>
              <w:t>适用于今后对安全要求较高的各种端和边缘侧设备场合</w:t>
            </w:r>
            <w:r w:rsidR="00A16287">
              <w:rPr>
                <w:rFonts w:asciiTheme="minorEastAsia" w:eastAsiaTheme="minorEastAsia" w:hAnsiTheme="minorEastAsia" w:hint="eastAsia"/>
                <w:bCs/>
              </w:rPr>
              <w:t>，</w:t>
            </w:r>
            <w:r w:rsidR="00A16287" w:rsidRPr="00A16287">
              <w:rPr>
                <w:rFonts w:cs="宋体" w:hint="eastAsia"/>
                <w:kern w:val="0"/>
                <w:szCs w:val="21"/>
              </w:rPr>
              <w:t>可以广泛应用于金融、通信、电力、物联网等有高安全要求的信息安全设备中，可作为公钥基础设施（</w:t>
            </w:r>
            <w:r w:rsidR="00A16287" w:rsidRPr="00A16287">
              <w:rPr>
                <w:rFonts w:cs="宋体"/>
                <w:kern w:val="0"/>
                <w:szCs w:val="21"/>
              </w:rPr>
              <w:t>PublicKey Infrastructure，PKI）参与数字安全基础设施建设，助力保障新时代数字经济发展</w:t>
            </w:r>
          </w:p>
          <w:p w14:paraId="1C72B2D0" w14:textId="6BB5E8AE" w:rsidR="00757A7C" w:rsidRDefault="00757A7C" w:rsidP="00A0677B">
            <w:pPr>
              <w:adjustRightInd w:val="0"/>
              <w:snapToGrid w:val="0"/>
              <w:ind w:firstLineChars="200" w:firstLine="480"/>
              <w:rPr>
                <w:rFonts w:cs="宋体"/>
                <w:kern w:val="0"/>
                <w:szCs w:val="21"/>
              </w:rPr>
            </w:pPr>
            <w:r w:rsidRPr="00757A7C">
              <w:rPr>
                <w:rFonts w:cs="宋体" w:hint="eastAsia"/>
                <w:kern w:val="0"/>
                <w:szCs w:val="21"/>
              </w:rPr>
              <w:t>抗量子密码芯片</w:t>
            </w:r>
            <w:r w:rsidRPr="00757A7C">
              <w:rPr>
                <w:rFonts w:cs="宋体"/>
                <w:kern w:val="0"/>
                <w:szCs w:val="21"/>
              </w:rPr>
              <w:t>AHC001可以同时支持传统密码算法和抗量子密码算法应用，采用AHC001芯片的安全产品或设备可以通过传统密码</w:t>
            </w:r>
            <w:r w:rsidRPr="00757A7C">
              <w:rPr>
                <w:rFonts w:cs="宋体"/>
                <w:kern w:val="0"/>
                <w:szCs w:val="21"/>
              </w:rPr>
              <w:lastRenderedPageBreak/>
              <w:t>算法和抗量子密码算法共存方式，逐步进行抗量子密码算法应用迁移；在保障原有业务不受影响的情况下，开展抗量子密码算法在新业务中应用，既满足现有业务系统密码应用，又能有效抵御量子计算攻击，增强安全产品或设备抗量子计算攻击的能力。</w:t>
            </w:r>
          </w:p>
          <w:p w14:paraId="453CEE93" w14:textId="03F9AD1C" w:rsidR="001F50AB" w:rsidRPr="00C62E7C" w:rsidRDefault="00757A7C" w:rsidP="00A0677B">
            <w:pPr>
              <w:adjustRightInd w:val="0"/>
              <w:snapToGrid w:val="0"/>
              <w:ind w:firstLineChars="200" w:firstLine="480"/>
              <w:rPr>
                <w:rFonts w:cs="宋体"/>
                <w:kern w:val="0"/>
                <w:szCs w:val="21"/>
              </w:rPr>
            </w:pPr>
            <w:r w:rsidRPr="00757A7C">
              <w:rPr>
                <w:rFonts w:cs="宋体" w:hint="eastAsia"/>
                <w:kern w:val="0"/>
                <w:szCs w:val="21"/>
              </w:rPr>
              <w:t>随着量子计算技术的快速发展，传统密码算法的安全性受到极大挑战。未来，在量子计算机面前，作为传统密码算法根基的数学难题将毫无安全性可言，进而依赖传统密码算法而构建的信息安全系统及各种应用将面临严峻的安全问题</w:t>
            </w:r>
            <w:r>
              <w:rPr>
                <w:rFonts w:cs="宋体" w:hint="eastAsia"/>
                <w:kern w:val="0"/>
                <w:szCs w:val="21"/>
              </w:rPr>
              <w:t>。</w:t>
            </w:r>
            <w:r w:rsidRPr="00757A7C">
              <w:rPr>
                <w:rFonts w:cs="宋体" w:hint="eastAsia"/>
                <w:kern w:val="0"/>
                <w:szCs w:val="21"/>
              </w:rPr>
              <w:t>在量子计算威胁即将来临之际，提前实现信息安全防护能力从传统密码防护向抗量子密码防护的跃升、将传统的密码算法全面迁移到抗量子密码算法便成了应有之义。各行业信息基础设施和关键信息系统需在大规模量子计算机进入实际应用前完成密码基础设施的更新、密码技术体系的升级，这不仅是关乎安全的迫切需求，也是推动数字经济健康发展的关键举措。由此可见，抗量子迁移不仅覆盖面广且势在必行，潜在市场需求或蔚为可观。</w:t>
            </w:r>
          </w:p>
          <w:p w14:paraId="3F5ADB0C" w14:textId="01FFC7C8" w:rsidR="00A825AB" w:rsidRPr="00C62E7C" w:rsidRDefault="00681235" w:rsidP="00C62E7C">
            <w:pPr>
              <w:adjustRightInd w:val="0"/>
              <w:snapToGrid w:val="0"/>
              <w:ind w:firstLineChars="0" w:firstLine="0"/>
              <w:rPr>
                <w:rFonts w:asciiTheme="minorEastAsia" w:eastAsiaTheme="minorEastAsia" w:hAnsiTheme="minorEastAsia"/>
                <w:bCs/>
              </w:rPr>
            </w:pPr>
            <w:r>
              <w:rPr>
                <w:rFonts w:asciiTheme="minorEastAsia" w:eastAsiaTheme="minorEastAsia" w:hAnsiTheme="minorEastAsia" w:hint="eastAsia"/>
                <w:bCs/>
              </w:rPr>
              <w:t xml:space="preserve"> </w:t>
            </w:r>
            <w:r>
              <w:rPr>
                <w:rFonts w:asciiTheme="minorEastAsia" w:eastAsiaTheme="minorEastAsia" w:hAnsiTheme="minorEastAsia"/>
                <w:bCs/>
              </w:rPr>
              <w:t xml:space="preserve">   </w:t>
            </w:r>
            <w:r w:rsidRPr="00681235">
              <w:rPr>
                <w:rFonts w:asciiTheme="minorEastAsia" w:eastAsiaTheme="minorEastAsia" w:hAnsiTheme="minorEastAsia" w:hint="eastAsia"/>
                <w:bCs/>
              </w:rPr>
              <w:t>针对公司与参股公司信大壹密</w:t>
            </w:r>
            <w:r w:rsidRPr="00681235">
              <w:rPr>
                <w:rFonts w:asciiTheme="minorEastAsia" w:eastAsiaTheme="minorEastAsia" w:hAnsiTheme="minorEastAsia"/>
                <w:bCs/>
              </w:rPr>
              <w:t>合作研发的抗量子密码芯片AHC001</w:t>
            </w:r>
            <w:r>
              <w:rPr>
                <w:rFonts w:asciiTheme="minorEastAsia" w:eastAsiaTheme="minorEastAsia" w:hAnsiTheme="minorEastAsia"/>
                <w:bCs/>
              </w:rPr>
              <w:t>新产品，</w:t>
            </w:r>
            <w:r w:rsidRPr="00681235">
              <w:rPr>
                <w:rFonts w:asciiTheme="minorEastAsia" w:eastAsiaTheme="minorEastAsia" w:hAnsiTheme="minorEastAsia" w:hint="eastAsia"/>
                <w:bCs/>
              </w:rPr>
              <w:t>公司正在和合作方积极结合特定领域的信息安全密码保护升级需要进行产品和方案开发，未来将和信息安全模组、系统和软件方案厂商紧密合作，共同开拓金融、通信、电力、物联网等领域的客户资源。</w:t>
            </w:r>
          </w:p>
          <w:p w14:paraId="1A363D14" w14:textId="7B6A7EB1" w:rsidR="007A1551" w:rsidRPr="00BB412B" w:rsidRDefault="009509CD" w:rsidP="00A825AB">
            <w:pPr>
              <w:adjustRightInd w:val="0"/>
              <w:snapToGrid w:val="0"/>
              <w:ind w:firstLineChars="200" w:firstLine="420"/>
              <w:rPr>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b/>
                <w:bCs/>
              </w:rPr>
            </w:pPr>
            <w:r>
              <w:rPr>
                <w:b/>
                <w:bCs/>
              </w:rPr>
              <w:lastRenderedPageBreak/>
              <w:t>附件清单（如有）</w:t>
            </w:r>
          </w:p>
        </w:tc>
        <w:tc>
          <w:tcPr>
            <w:tcW w:w="4248" w:type="pct"/>
          </w:tcPr>
          <w:p w14:paraId="35FA26A4" w14:textId="77777777" w:rsidR="003B1D4A" w:rsidRDefault="003F2E6B">
            <w:pPr>
              <w:ind w:firstLineChars="0" w:firstLine="0"/>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b/>
                <w:bCs/>
              </w:rPr>
            </w:pPr>
            <w:r>
              <w:rPr>
                <w:b/>
                <w:bCs/>
              </w:rPr>
              <w:t>日期</w:t>
            </w:r>
          </w:p>
        </w:tc>
        <w:tc>
          <w:tcPr>
            <w:tcW w:w="4248" w:type="pct"/>
          </w:tcPr>
          <w:p w14:paraId="790B7FB8" w14:textId="2FB19670" w:rsidR="003B1D4A" w:rsidRDefault="00A16287" w:rsidP="00A0677B">
            <w:pPr>
              <w:ind w:firstLineChars="0" w:firstLine="0"/>
            </w:pPr>
            <w:r>
              <w:rPr>
                <w:rFonts w:hint="eastAsia"/>
              </w:rPr>
              <w:t>2</w:t>
            </w:r>
            <w:r>
              <w:t>025年5</w:t>
            </w:r>
            <w:r w:rsidR="003F2E6B">
              <w:rPr>
                <w:rFonts w:hint="eastAsia"/>
              </w:rPr>
              <w:t>月</w:t>
            </w:r>
          </w:p>
        </w:tc>
      </w:tr>
    </w:tbl>
    <w:p w14:paraId="47872F2C" w14:textId="77777777" w:rsidR="003B1D4A" w:rsidRDefault="003B1D4A" w:rsidP="00657602">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B6A3E" w14:textId="77777777" w:rsidR="000E59FE" w:rsidRDefault="000E59FE">
      <w:pPr>
        <w:spacing w:line="240" w:lineRule="auto"/>
      </w:pPr>
      <w:r>
        <w:separator/>
      </w:r>
    </w:p>
  </w:endnote>
  <w:endnote w:type="continuationSeparator" w:id="0">
    <w:p w14:paraId="12884957" w14:textId="77777777" w:rsidR="000E59FE" w:rsidRDefault="000E5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803419" w:rsidRDefault="00803419">
    <w:pPr>
      <w:pStyle w:val="a6"/>
      <w:ind w:firstLine="180"/>
      <w:rPr>
        <w:rStyle w:val="ab"/>
      </w:rPr>
    </w:pPr>
    <w:r>
      <w:fldChar w:fldCharType="begin"/>
    </w:r>
    <w:r>
      <w:rPr>
        <w:rStyle w:val="ab"/>
      </w:rPr>
      <w:instrText xml:space="preserve">PAGE  </w:instrText>
    </w:r>
    <w:r>
      <w:fldChar w:fldCharType="end"/>
    </w:r>
  </w:p>
  <w:p w14:paraId="17392482" w14:textId="77777777" w:rsidR="00803419" w:rsidRDefault="00803419">
    <w:pPr>
      <w:pStyle w:val="a6"/>
      <w:ind w:firstLine="180"/>
    </w:pPr>
  </w:p>
  <w:p w14:paraId="063A4A46" w14:textId="77777777" w:rsidR="00803419" w:rsidRDefault="00803419"/>
  <w:p w14:paraId="05401801" w14:textId="77777777" w:rsidR="00803419" w:rsidRDefault="00803419"/>
  <w:p w14:paraId="06E5972A" w14:textId="77777777" w:rsidR="00803419" w:rsidRDefault="00803419"/>
  <w:p w14:paraId="30E4CD99" w14:textId="77777777" w:rsidR="00803419" w:rsidRDefault="008034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77777777" w:rsidR="00803419" w:rsidRDefault="00803419">
        <w:pPr>
          <w:pStyle w:val="a6"/>
          <w:ind w:firstLine="180"/>
          <w:jc w:val="center"/>
        </w:pPr>
        <w:r>
          <w:fldChar w:fldCharType="begin"/>
        </w:r>
        <w:r>
          <w:instrText>PAGE   \* MERGEFORMAT</w:instrText>
        </w:r>
        <w:r>
          <w:fldChar w:fldCharType="separate"/>
        </w:r>
        <w:r w:rsidR="003276AC" w:rsidRPr="003276AC">
          <w:rPr>
            <w:noProof/>
            <w:lang w:val="zh-CN"/>
          </w:rPr>
          <w:t>1</w:t>
        </w:r>
        <w:r>
          <w:fldChar w:fldCharType="end"/>
        </w:r>
      </w:p>
    </w:sdtContent>
  </w:sdt>
  <w:p w14:paraId="44699B6D" w14:textId="77777777" w:rsidR="00803419" w:rsidRDefault="00803419" w:rsidP="000902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803419" w:rsidRDefault="00803419">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3D1D9" w14:textId="77777777" w:rsidR="000E59FE" w:rsidRDefault="000E59FE" w:rsidP="001B3E8E">
      <w:r>
        <w:separator/>
      </w:r>
    </w:p>
  </w:footnote>
  <w:footnote w:type="continuationSeparator" w:id="0">
    <w:p w14:paraId="7104F317" w14:textId="77777777" w:rsidR="000E59FE" w:rsidRDefault="000E5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803419" w:rsidRDefault="00803419">
    <w:pPr>
      <w:pStyle w:val="a7"/>
      <w:ind w:firstLine="180"/>
    </w:pPr>
  </w:p>
  <w:p w14:paraId="3422A703" w14:textId="77777777" w:rsidR="00803419" w:rsidRDefault="008034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803419" w:rsidRPr="00B16181" w:rsidRDefault="00803419" w:rsidP="001B3E8E">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803419" w:rsidRDefault="00803419">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num w:numId="1">
    <w:abstractNumId w:val="2"/>
  </w:num>
  <w:num w:numId="2">
    <w:abstractNumId w:val="0"/>
  </w:num>
  <w:num w:numId="3">
    <w:abstractNumId w:val="2"/>
  </w:num>
  <w:num w:numId="4">
    <w:abstractNumId w:val="2"/>
  </w:num>
  <w:num w:numId="5">
    <w:abstractNumId w:val="3"/>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3AA6"/>
    <w:rsid w:val="000245A8"/>
    <w:rsid w:val="00024A5A"/>
    <w:rsid w:val="00030F78"/>
    <w:rsid w:val="00031087"/>
    <w:rsid w:val="000318EA"/>
    <w:rsid w:val="00035234"/>
    <w:rsid w:val="00043834"/>
    <w:rsid w:val="00044F32"/>
    <w:rsid w:val="00046E30"/>
    <w:rsid w:val="00047AFF"/>
    <w:rsid w:val="000530E5"/>
    <w:rsid w:val="00055B22"/>
    <w:rsid w:val="00056DDD"/>
    <w:rsid w:val="000632FE"/>
    <w:rsid w:val="000646FD"/>
    <w:rsid w:val="00064B5B"/>
    <w:rsid w:val="00073B2F"/>
    <w:rsid w:val="000760EA"/>
    <w:rsid w:val="00076282"/>
    <w:rsid w:val="0007629F"/>
    <w:rsid w:val="00080090"/>
    <w:rsid w:val="00080717"/>
    <w:rsid w:val="0008101A"/>
    <w:rsid w:val="00083DD0"/>
    <w:rsid w:val="00085A0F"/>
    <w:rsid w:val="000902BC"/>
    <w:rsid w:val="00090FFD"/>
    <w:rsid w:val="00091CC9"/>
    <w:rsid w:val="00093096"/>
    <w:rsid w:val="000A0D37"/>
    <w:rsid w:val="000A251F"/>
    <w:rsid w:val="000A3134"/>
    <w:rsid w:val="000A5CB3"/>
    <w:rsid w:val="000A5FFA"/>
    <w:rsid w:val="000B1DD2"/>
    <w:rsid w:val="000B3586"/>
    <w:rsid w:val="000B4D51"/>
    <w:rsid w:val="000C0942"/>
    <w:rsid w:val="000C0A85"/>
    <w:rsid w:val="000C62AA"/>
    <w:rsid w:val="000C77C8"/>
    <w:rsid w:val="000D496E"/>
    <w:rsid w:val="000D7703"/>
    <w:rsid w:val="000E4190"/>
    <w:rsid w:val="000E59FE"/>
    <w:rsid w:val="000E67A7"/>
    <w:rsid w:val="000F29AC"/>
    <w:rsid w:val="000F76F1"/>
    <w:rsid w:val="00101684"/>
    <w:rsid w:val="00103C51"/>
    <w:rsid w:val="00105F66"/>
    <w:rsid w:val="0010693D"/>
    <w:rsid w:val="00111531"/>
    <w:rsid w:val="00112DB2"/>
    <w:rsid w:val="00112F6A"/>
    <w:rsid w:val="001216D2"/>
    <w:rsid w:val="001242F6"/>
    <w:rsid w:val="00125F0B"/>
    <w:rsid w:val="00130F81"/>
    <w:rsid w:val="00134BC2"/>
    <w:rsid w:val="00140015"/>
    <w:rsid w:val="00146A97"/>
    <w:rsid w:val="00152377"/>
    <w:rsid w:val="00153E41"/>
    <w:rsid w:val="00163FEB"/>
    <w:rsid w:val="0016400F"/>
    <w:rsid w:val="0016420E"/>
    <w:rsid w:val="00164B94"/>
    <w:rsid w:val="00165441"/>
    <w:rsid w:val="001663C3"/>
    <w:rsid w:val="00170222"/>
    <w:rsid w:val="001716CA"/>
    <w:rsid w:val="00174C2D"/>
    <w:rsid w:val="0018758E"/>
    <w:rsid w:val="00192429"/>
    <w:rsid w:val="00197E4E"/>
    <w:rsid w:val="001A0D8B"/>
    <w:rsid w:val="001A1846"/>
    <w:rsid w:val="001A4172"/>
    <w:rsid w:val="001A42A9"/>
    <w:rsid w:val="001A4592"/>
    <w:rsid w:val="001A47A4"/>
    <w:rsid w:val="001A6034"/>
    <w:rsid w:val="001B288F"/>
    <w:rsid w:val="001B3E8E"/>
    <w:rsid w:val="001B415F"/>
    <w:rsid w:val="001C43E6"/>
    <w:rsid w:val="001D39D3"/>
    <w:rsid w:val="001D7980"/>
    <w:rsid w:val="001E393D"/>
    <w:rsid w:val="001E68F5"/>
    <w:rsid w:val="001E6D92"/>
    <w:rsid w:val="001F3965"/>
    <w:rsid w:val="001F50AB"/>
    <w:rsid w:val="00201EC5"/>
    <w:rsid w:val="0020252F"/>
    <w:rsid w:val="00221D0E"/>
    <w:rsid w:val="00226B8D"/>
    <w:rsid w:val="002302A5"/>
    <w:rsid w:val="0023138E"/>
    <w:rsid w:val="00232D5C"/>
    <w:rsid w:val="00236D23"/>
    <w:rsid w:val="002379FB"/>
    <w:rsid w:val="00240ADB"/>
    <w:rsid w:val="00241E16"/>
    <w:rsid w:val="0024207E"/>
    <w:rsid w:val="00242515"/>
    <w:rsid w:val="00245C8B"/>
    <w:rsid w:val="00257027"/>
    <w:rsid w:val="0026423A"/>
    <w:rsid w:val="00264E4B"/>
    <w:rsid w:val="00273119"/>
    <w:rsid w:val="002759CE"/>
    <w:rsid w:val="00282E0C"/>
    <w:rsid w:val="00296139"/>
    <w:rsid w:val="00296285"/>
    <w:rsid w:val="00297A86"/>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301669"/>
    <w:rsid w:val="00302D69"/>
    <w:rsid w:val="003031DA"/>
    <w:rsid w:val="00310D3F"/>
    <w:rsid w:val="0031116F"/>
    <w:rsid w:val="00311764"/>
    <w:rsid w:val="003128D5"/>
    <w:rsid w:val="00312BFB"/>
    <w:rsid w:val="00312FB7"/>
    <w:rsid w:val="00321E20"/>
    <w:rsid w:val="003255AC"/>
    <w:rsid w:val="00326D0E"/>
    <w:rsid w:val="003272B2"/>
    <w:rsid w:val="003276AC"/>
    <w:rsid w:val="00330F46"/>
    <w:rsid w:val="00333F0D"/>
    <w:rsid w:val="003340C8"/>
    <w:rsid w:val="00334624"/>
    <w:rsid w:val="0033475C"/>
    <w:rsid w:val="0034127D"/>
    <w:rsid w:val="003440A2"/>
    <w:rsid w:val="003446DB"/>
    <w:rsid w:val="00350417"/>
    <w:rsid w:val="00354495"/>
    <w:rsid w:val="00356F28"/>
    <w:rsid w:val="0035726E"/>
    <w:rsid w:val="00362A4A"/>
    <w:rsid w:val="00363AB1"/>
    <w:rsid w:val="003657EE"/>
    <w:rsid w:val="00377CAE"/>
    <w:rsid w:val="0038425F"/>
    <w:rsid w:val="00384386"/>
    <w:rsid w:val="00385DD4"/>
    <w:rsid w:val="00387FC4"/>
    <w:rsid w:val="00390926"/>
    <w:rsid w:val="00392340"/>
    <w:rsid w:val="00395451"/>
    <w:rsid w:val="003A0DBA"/>
    <w:rsid w:val="003A3878"/>
    <w:rsid w:val="003A4952"/>
    <w:rsid w:val="003A7D35"/>
    <w:rsid w:val="003B0CCC"/>
    <w:rsid w:val="003B12F2"/>
    <w:rsid w:val="003B1D4A"/>
    <w:rsid w:val="003B2CA8"/>
    <w:rsid w:val="003B5DA0"/>
    <w:rsid w:val="003C0A41"/>
    <w:rsid w:val="003C17BE"/>
    <w:rsid w:val="003C3905"/>
    <w:rsid w:val="003C4C3F"/>
    <w:rsid w:val="003E10BA"/>
    <w:rsid w:val="003F07FF"/>
    <w:rsid w:val="003F1E4D"/>
    <w:rsid w:val="003F232D"/>
    <w:rsid w:val="003F2C4F"/>
    <w:rsid w:val="003F2E6B"/>
    <w:rsid w:val="003F6CA1"/>
    <w:rsid w:val="003F7E36"/>
    <w:rsid w:val="00400AE2"/>
    <w:rsid w:val="00403EEE"/>
    <w:rsid w:val="00405AF5"/>
    <w:rsid w:val="004123C1"/>
    <w:rsid w:val="0042108B"/>
    <w:rsid w:val="004218FC"/>
    <w:rsid w:val="00425014"/>
    <w:rsid w:val="00431863"/>
    <w:rsid w:val="00431B33"/>
    <w:rsid w:val="00432DF2"/>
    <w:rsid w:val="0043525E"/>
    <w:rsid w:val="00437CEA"/>
    <w:rsid w:val="00450AF7"/>
    <w:rsid w:val="00452594"/>
    <w:rsid w:val="0045488B"/>
    <w:rsid w:val="00455C03"/>
    <w:rsid w:val="00457665"/>
    <w:rsid w:val="00457CFD"/>
    <w:rsid w:val="00462710"/>
    <w:rsid w:val="00472458"/>
    <w:rsid w:val="00483906"/>
    <w:rsid w:val="0048424D"/>
    <w:rsid w:val="00497320"/>
    <w:rsid w:val="004A4889"/>
    <w:rsid w:val="004A4E81"/>
    <w:rsid w:val="004A5EDB"/>
    <w:rsid w:val="004B440D"/>
    <w:rsid w:val="004B5DC8"/>
    <w:rsid w:val="004B7389"/>
    <w:rsid w:val="004C395A"/>
    <w:rsid w:val="004C6A2D"/>
    <w:rsid w:val="004D3594"/>
    <w:rsid w:val="004D4449"/>
    <w:rsid w:val="004D4C91"/>
    <w:rsid w:val="004D7B2F"/>
    <w:rsid w:val="004E1938"/>
    <w:rsid w:val="004E7967"/>
    <w:rsid w:val="004F0052"/>
    <w:rsid w:val="005001CC"/>
    <w:rsid w:val="00500806"/>
    <w:rsid w:val="00501572"/>
    <w:rsid w:val="00503CA7"/>
    <w:rsid w:val="00510501"/>
    <w:rsid w:val="00511501"/>
    <w:rsid w:val="00515580"/>
    <w:rsid w:val="00515807"/>
    <w:rsid w:val="00515F83"/>
    <w:rsid w:val="005165A6"/>
    <w:rsid w:val="00516F78"/>
    <w:rsid w:val="0053050B"/>
    <w:rsid w:val="005331FE"/>
    <w:rsid w:val="005354D9"/>
    <w:rsid w:val="005355E0"/>
    <w:rsid w:val="00540173"/>
    <w:rsid w:val="0054403E"/>
    <w:rsid w:val="005639B1"/>
    <w:rsid w:val="005644C5"/>
    <w:rsid w:val="005673C2"/>
    <w:rsid w:val="00575414"/>
    <w:rsid w:val="005767CC"/>
    <w:rsid w:val="00580521"/>
    <w:rsid w:val="00583BF1"/>
    <w:rsid w:val="00585C74"/>
    <w:rsid w:val="005906B5"/>
    <w:rsid w:val="00592BDD"/>
    <w:rsid w:val="005A0297"/>
    <w:rsid w:val="005A1F10"/>
    <w:rsid w:val="005A39A6"/>
    <w:rsid w:val="005B2184"/>
    <w:rsid w:val="005B2D9E"/>
    <w:rsid w:val="005B58E0"/>
    <w:rsid w:val="005B7CFD"/>
    <w:rsid w:val="005C09A5"/>
    <w:rsid w:val="005D0399"/>
    <w:rsid w:val="005D08E7"/>
    <w:rsid w:val="005D46E5"/>
    <w:rsid w:val="005D6758"/>
    <w:rsid w:val="005E2B0F"/>
    <w:rsid w:val="005E4B65"/>
    <w:rsid w:val="005F18C7"/>
    <w:rsid w:val="005F2DEE"/>
    <w:rsid w:val="005F38E0"/>
    <w:rsid w:val="0060128D"/>
    <w:rsid w:val="00601B40"/>
    <w:rsid w:val="00606E9E"/>
    <w:rsid w:val="006102AC"/>
    <w:rsid w:val="0061172E"/>
    <w:rsid w:val="00613B55"/>
    <w:rsid w:val="00616AF0"/>
    <w:rsid w:val="00626485"/>
    <w:rsid w:val="00627E46"/>
    <w:rsid w:val="00633D79"/>
    <w:rsid w:val="00635DFD"/>
    <w:rsid w:val="00640888"/>
    <w:rsid w:val="00642DC5"/>
    <w:rsid w:val="00643757"/>
    <w:rsid w:val="00644B3E"/>
    <w:rsid w:val="00645F17"/>
    <w:rsid w:val="006502E0"/>
    <w:rsid w:val="00653106"/>
    <w:rsid w:val="006567CA"/>
    <w:rsid w:val="00657602"/>
    <w:rsid w:val="00661F60"/>
    <w:rsid w:val="0066255B"/>
    <w:rsid w:val="006634CB"/>
    <w:rsid w:val="00665066"/>
    <w:rsid w:val="0066663A"/>
    <w:rsid w:val="006710EE"/>
    <w:rsid w:val="00671437"/>
    <w:rsid w:val="00675550"/>
    <w:rsid w:val="00681235"/>
    <w:rsid w:val="0068525D"/>
    <w:rsid w:val="006A7D22"/>
    <w:rsid w:val="006B1A59"/>
    <w:rsid w:val="006B5A2D"/>
    <w:rsid w:val="006C1FB5"/>
    <w:rsid w:val="006C6924"/>
    <w:rsid w:val="006D119F"/>
    <w:rsid w:val="006D38E5"/>
    <w:rsid w:val="006D3F9F"/>
    <w:rsid w:val="006E1508"/>
    <w:rsid w:val="006E6A5D"/>
    <w:rsid w:val="006E6B76"/>
    <w:rsid w:val="006E7B38"/>
    <w:rsid w:val="006F51EE"/>
    <w:rsid w:val="006F53B9"/>
    <w:rsid w:val="006F7A5B"/>
    <w:rsid w:val="00700EBF"/>
    <w:rsid w:val="00704E7A"/>
    <w:rsid w:val="0070643C"/>
    <w:rsid w:val="00707416"/>
    <w:rsid w:val="00707CF0"/>
    <w:rsid w:val="00707F88"/>
    <w:rsid w:val="00720027"/>
    <w:rsid w:val="00721E89"/>
    <w:rsid w:val="00723514"/>
    <w:rsid w:val="007238EB"/>
    <w:rsid w:val="00723AF3"/>
    <w:rsid w:val="007317F9"/>
    <w:rsid w:val="0073239E"/>
    <w:rsid w:val="007336B1"/>
    <w:rsid w:val="00735CF1"/>
    <w:rsid w:val="007371C1"/>
    <w:rsid w:val="007376A2"/>
    <w:rsid w:val="007417D9"/>
    <w:rsid w:val="00742EE0"/>
    <w:rsid w:val="00746A93"/>
    <w:rsid w:val="0075039D"/>
    <w:rsid w:val="007548D0"/>
    <w:rsid w:val="00757A7C"/>
    <w:rsid w:val="007620BC"/>
    <w:rsid w:val="00764707"/>
    <w:rsid w:val="0077156A"/>
    <w:rsid w:val="007715CE"/>
    <w:rsid w:val="007716CD"/>
    <w:rsid w:val="00771743"/>
    <w:rsid w:val="00773489"/>
    <w:rsid w:val="007735A0"/>
    <w:rsid w:val="0077417B"/>
    <w:rsid w:val="0077475E"/>
    <w:rsid w:val="00775044"/>
    <w:rsid w:val="007765A5"/>
    <w:rsid w:val="0078409C"/>
    <w:rsid w:val="00785C70"/>
    <w:rsid w:val="0079143B"/>
    <w:rsid w:val="0079284D"/>
    <w:rsid w:val="00792A7D"/>
    <w:rsid w:val="007931AA"/>
    <w:rsid w:val="00793214"/>
    <w:rsid w:val="007932BF"/>
    <w:rsid w:val="007972E5"/>
    <w:rsid w:val="007A1551"/>
    <w:rsid w:val="007A3B4E"/>
    <w:rsid w:val="007A48C0"/>
    <w:rsid w:val="007B1CE0"/>
    <w:rsid w:val="007B3ADF"/>
    <w:rsid w:val="007B5CFF"/>
    <w:rsid w:val="007C1342"/>
    <w:rsid w:val="007C2E3C"/>
    <w:rsid w:val="007D056F"/>
    <w:rsid w:val="007D13E6"/>
    <w:rsid w:val="007D322B"/>
    <w:rsid w:val="007D7FA7"/>
    <w:rsid w:val="007E2D8C"/>
    <w:rsid w:val="007F4C67"/>
    <w:rsid w:val="007F541E"/>
    <w:rsid w:val="00800986"/>
    <w:rsid w:val="00801933"/>
    <w:rsid w:val="00803419"/>
    <w:rsid w:val="00805D5B"/>
    <w:rsid w:val="00807EC0"/>
    <w:rsid w:val="00813423"/>
    <w:rsid w:val="008140F1"/>
    <w:rsid w:val="00814184"/>
    <w:rsid w:val="008152F7"/>
    <w:rsid w:val="00816CE6"/>
    <w:rsid w:val="00820077"/>
    <w:rsid w:val="0082139B"/>
    <w:rsid w:val="008243C3"/>
    <w:rsid w:val="00826966"/>
    <w:rsid w:val="008318ED"/>
    <w:rsid w:val="0083242D"/>
    <w:rsid w:val="008342E7"/>
    <w:rsid w:val="00834FC3"/>
    <w:rsid w:val="0084062B"/>
    <w:rsid w:val="00841D6E"/>
    <w:rsid w:val="008446C2"/>
    <w:rsid w:val="00845F66"/>
    <w:rsid w:val="008468EA"/>
    <w:rsid w:val="00850D62"/>
    <w:rsid w:val="0085717B"/>
    <w:rsid w:val="0086204D"/>
    <w:rsid w:val="00864578"/>
    <w:rsid w:val="00864D3C"/>
    <w:rsid w:val="00870501"/>
    <w:rsid w:val="00870B7C"/>
    <w:rsid w:val="00872FA9"/>
    <w:rsid w:val="008751A0"/>
    <w:rsid w:val="00875674"/>
    <w:rsid w:val="00875AB4"/>
    <w:rsid w:val="00876EE7"/>
    <w:rsid w:val="00891345"/>
    <w:rsid w:val="00892030"/>
    <w:rsid w:val="00892FEA"/>
    <w:rsid w:val="008952D4"/>
    <w:rsid w:val="008966B9"/>
    <w:rsid w:val="0089689F"/>
    <w:rsid w:val="008978BA"/>
    <w:rsid w:val="008A1DBF"/>
    <w:rsid w:val="008A7F6E"/>
    <w:rsid w:val="008B17CD"/>
    <w:rsid w:val="008B3AA3"/>
    <w:rsid w:val="008B471A"/>
    <w:rsid w:val="008C36CE"/>
    <w:rsid w:val="008C3B97"/>
    <w:rsid w:val="008C4CF6"/>
    <w:rsid w:val="008C4DC4"/>
    <w:rsid w:val="008C740E"/>
    <w:rsid w:val="008D0F98"/>
    <w:rsid w:val="008D2DAA"/>
    <w:rsid w:val="008D4E8C"/>
    <w:rsid w:val="008D5334"/>
    <w:rsid w:val="008D7A17"/>
    <w:rsid w:val="008D7A90"/>
    <w:rsid w:val="008E34B2"/>
    <w:rsid w:val="008E6A82"/>
    <w:rsid w:val="008E6B91"/>
    <w:rsid w:val="009018C9"/>
    <w:rsid w:val="009040F8"/>
    <w:rsid w:val="0090467E"/>
    <w:rsid w:val="00905218"/>
    <w:rsid w:val="009061BA"/>
    <w:rsid w:val="009144FD"/>
    <w:rsid w:val="00920255"/>
    <w:rsid w:val="00923B6F"/>
    <w:rsid w:val="00932F1F"/>
    <w:rsid w:val="00933089"/>
    <w:rsid w:val="009330B5"/>
    <w:rsid w:val="00935BF7"/>
    <w:rsid w:val="00935C92"/>
    <w:rsid w:val="00943ABD"/>
    <w:rsid w:val="0094461D"/>
    <w:rsid w:val="00944C69"/>
    <w:rsid w:val="009465C7"/>
    <w:rsid w:val="009509CD"/>
    <w:rsid w:val="0095119D"/>
    <w:rsid w:val="00954302"/>
    <w:rsid w:val="00956A4A"/>
    <w:rsid w:val="00957B96"/>
    <w:rsid w:val="009624C1"/>
    <w:rsid w:val="00962EFF"/>
    <w:rsid w:val="0097204E"/>
    <w:rsid w:val="00975DF4"/>
    <w:rsid w:val="00976AFB"/>
    <w:rsid w:val="00980430"/>
    <w:rsid w:val="00983A69"/>
    <w:rsid w:val="00992F11"/>
    <w:rsid w:val="009979F9"/>
    <w:rsid w:val="009A1AA9"/>
    <w:rsid w:val="009A3C59"/>
    <w:rsid w:val="009B0820"/>
    <w:rsid w:val="009B0B72"/>
    <w:rsid w:val="009B3604"/>
    <w:rsid w:val="009B5F64"/>
    <w:rsid w:val="009C09F7"/>
    <w:rsid w:val="009C24B7"/>
    <w:rsid w:val="009C493D"/>
    <w:rsid w:val="009C5347"/>
    <w:rsid w:val="009D3CE9"/>
    <w:rsid w:val="009D66BE"/>
    <w:rsid w:val="009D6C5B"/>
    <w:rsid w:val="009E2187"/>
    <w:rsid w:val="009E3C10"/>
    <w:rsid w:val="009E6035"/>
    <w:rsid w:val="009F1628"/>
    <w:rsid w:val="009F1EC3"/>
    <w:rsid w:val="009F20B0"/>
    <w:rsid w:val="009F2E64"/>
    <w:rsid w:val="009F52B8"/>
    <w:rsid w:val="009F557C"/>
    <w:rsid w:val="009F7E66"/>
    <w:rsid w:val="00A0677B"/>
    <w:rsid w:val="00A10392"/>
    <w:rsid w:val="00A10FD9"/>
    <w:rsid w:val="00A113F2"/>
    <w:rsid w:val="00A11663"/>
    <w:rsid w:val="00A11A75"/>
    <w:rsid w:val="00A124DF"/>
    <w:rsid w:val="00A14B72"/>
    <w:rsid w:val="00A160EB"/>
    <w:rsid w:val="00A16287"/>
    <w:rsid w:val="00A2295A"/>
    <w:rsid w:val="00A22ABD"/>
    <w:rsid w:val="00A23A86"/>
    <w:rsid w:val="00A24A19"/>
    <w:rsid w:val="00A2512B"/>
    <w:rsid w:val="00A3036C"/>
    <w:rsid w:val="00A32D1D"/>
    <w:rsid w:val="00A456C8"/>
    <w:rsid w:val="00A46392"/>
    <w:rsid w:val="00A474CA"/>
    <w:rsid w:val="00A60E72"/>
    <w:rsid w:val="00A64F9F"/>
    <w:rsid w:val="00A729AA"/>
    <w:rsid w:val="00A738EE"/>
    <w:rsid w:val="00A7409C"/>
    <w:rsid w:val="00A75A65"/>
    <w:rsid w:val="00A80005"/>
    <w:rsid w:val="00A80C0A"/>
    <w:rsid w:val="00A825AB"/>
    <w:rsid w:val="00A84AF3"/>
    <w:rsid w:val="00A85601"/>
    <w:rsid w:val="00A86646"/>
    <w:rsid w:val="00AA2B8E"/>
    <w:rsid w:val="00AA480E"/>
    <w:rsid w:val="00AB1FF8"/>
    <w:rsid w:val="00AC0975"/>
    <w:rsid w:val="00AC3063"/>
    <w:rsid w:val="00AC623F"/>
    <w:rsid w:val="00AC7EAB"/>
    <w:rsid w:val="00AD2D4F"/>
    <w:rsid w:val="00AD38C4"/>
    <w:rsid w:val="00AD3EDD"/>
    <w:rsid w:val="00AE01DE"/>
    <w:rsid w:val="00AE261B"/>
    <w:rsid w:val="00AE3FBB"/>
    <w:rsid w:val="00AE579C"/>
    <w:rsid w:val="00AE5FD4"/>
    <w:rsid w:val="00AE6CA2"/>
    <w:rsid w:val="00AE6D01"/>
    <w:rsid w:val="00AE7150"/>
    <w:rsid w:val="00AE73C0"/>
    <w:rsid w:val="00AF26E8"/>
    <w:rsid w:val="00AF41B1"/>
    <w:rsid w:val="00AF4952"/>
    <w:rsid w:val="00AF4BB5"/>
    <w:rsid w:val="00AF70D3"/>
    <w:rsid w:val="00AF7436"/>
    <w:rsid w:val="00B00A68"/>
    <w:rsid w:val="00B015DA"/>
    <w:rsid w:val="00B0570A"/>
    <w:rsid w:val="00B107ED"/>
    <w:rsid w:val="00B15E0C"/>
    <w:rsid w:val="00B16181"/>
    <w:rsid w:val="00B16F7D"/>
    <w:rsid w:val="00B20404"/>
    <w:rsid w:val="00B21491"/>
    <w:rsid w:val="00B22D20"/>
    <w:rsid w:val="00B24F82"/>
    <w:rsid w:val="00B25FC2"/>
    <w:rsid w:val="00B270E5"/>
    <w:rsid w:val="00B31FA3"/>
    <w:rsid w:val="00B3318E"/>
    <w:rsid w:val="00B33E01"/>
    <w:rsid w:val="00B3690C"/>
    <w:rsid w:val="00B36E30"/>
    <w:rsid w:val="00B3772E"/>
    <w:rsid w:val="00B41AEC"/>
    <w:rsid w:val="00B43643"/>
    <w:rsid w:val="00B50D65"/>
    <w:rsid w:val="00B521E9"/>
    <w:rsid w:val="00B561F8"/>
    <w:rsid w:val="00B56851"/>
    <w:rsid w:val="00B61B68"/>
    <w:rsid w:val="00B7320A"/>
    <w:rsid w:val="00B7689C"/>
    <w:rsid w:val="00B768A5"/>
    <w:rsid w:val="00B82D4B"/>
    <w:rsid w:val="00B841C8"/>
    <w:rsid w:val="00B85986"/>
    <w:rsid w:val="00B9309B"/>
    <w:rsid w:val="00BA4B8E"/>
    <w:rsid w:val="00BA537D"/>
    <w:rsid w:val="00BA5E01"/>
    <w:rsid w:val="00BB145A"/>
    <w:rsid w:val="00BB412B"/>
    <w:rsid w:val="00BB5D50"/>
    <w:rsid w:val="00BC143B"/>
    <w:rsid w:val="00BC4CE0"/>
    <w:rsid w:val="00BC58F3"/>
    <w:rsid w:val="00BD333E"/>
    <w:rsid w:val="00BD722B"/>
    <w:rsid w:val="00BE1791"/>
    <w:rsid w:val="00BE1E34"/>
    <w:rsid w:val="00BE5311"/>
    <w:rsid w:val="00BE5606"/>
    <w:rsid w:val="00BE6D16"/>
    <w:rsid w:val="00BE797C"/>
    <w:rsid w:val="00BF1A1D"/>
    <w:rsid w:val="00BF1BF9"/>
    <w:rsid w:val="00BF1F15"/>
    <w:rsid w:val="00BF3F89"/>
    <w:rsid w:val="00BF68CC"/>
    <w:rsid w:val="00C00298"/>
    <w:rsid w:val="00C0129E"/>
    <w:rsid w:val="00C04754"/>
    <w:rsid w:val="00C0783F"/>
    <w:rsid w:val="00C100A4"/>
    <w:rsid w:val="00C1213A"/>
    <w:rsid w:val="00C16428"/>
    <w:rsid w:val="00C20A10"/>
    <w:rsid w:val="00C20B79"/>
    <w:rsid w:val="00C20D2D"/>
    <w:rsid w:val="00C23B74"/>
    <w:rsid w:val="00C24817"/>
    <w:rsid w:val="00C3034D"/>
    <w:rsid w:val="00C31BCD"/>
    <w:rsid w:val="00C34603"/>
    <w:rsid w:val="00C35EE8"/>
    <w:rsid w:val="00C367AC"/>
    <w:rsid w:val="00C4300E"/>
    <w:rsid w:val="00C44CA9"/>
    <w:rsid w:val="00C464D9"/>
    <w:rsid w:val="00C52631"/>
    <w:rsid w:val="00C53D79"/>
    <w:rsid w:val="00C57439"/>
    <w:rsid w:val="00C62E7C"/>
    <w:rsid w:val="00C67398"/>
    <w:rsid w:val="00C7222A"/>
    <w:rsid w:val="00C75F48"/>
    <w:rsid w:val="00C7739F"/>
    <w:rsid w:val="00C84EC2"/>
    <w:rsid w:val="00C85C1C"/>
    <w:rsid w:val="00C8642D"/>
    <w:rsid w:val="00C90E70"/>
    <w:rsid w:val="00C92D6F"/>
    <w:rsid w:val="00C960BA"/>
    <w:rsid w:val="00CA0004"/>
    <w:rsid w:val="00CA079D"/>
    <w:rsid w:val="00CA0B36"/>
    <w:rsid w:val="00CA2049"/>
    <w:rsid w:val="00CA29C1"/>
    <w:rsid w:val="00CA4324"/>
    <w:rsid w:val="00CA5777"/>
    <w:rsid w:val="00CA7956"/>
    <w:rsid w:val="00CB0A08"/>
    <w:rsid w:val="00CB41FB"/>
    <w:rsid w:val="00CC05CB"/>
    <w:rsid w:val="00CC2914"/>
    <w:rsid w:val="00CD1524"/>
    <w:rsid w:val="00CD45F3"/>
    <w:rsid w:val="00CD5B33"/>
    <w:rsid w:val="00CE33A7"/>
    <w:rsid w:val="00CF27C4"/>
    <w:rsid w:val="00CF3F75"/>
    <w:rsid w:val="00CF4BE9"/>
    <w:rsid w:val="00CF5937"/>
    <w:rsid w:val="00D01194"/>
    <w:rsid w:val="00D01442"/>
    <w:rsid w:val="00D043A0"/>
    <w:rsid w:val="00D05AAC"/>
    <w:rsid w:val="00D1193B"/>
    <w:rsid w:val="00D14EAE"/>
    <w:rsid w:val="00D15E0E"/>
    <w:rsid w:val="00D17C43"/>
    <w:rsid w:val="00D20994"/>
    <w:rsid w:val="00D22319"/>
    <w:rsid w:val="00D25D4D"/>
    <w:rsid w:val="00D25E43"/>
    <w:rsid w:val="00D260FF"/>
    <w:rsid w:val="00D32A05"/>
    <w:rsid w:val="00D3552F"/>
    <w:rsid w:val="00D37C1F"/>
    <w:rsid w:val="00D4169A"/>
    <w:rsid w:val="00D46011"/>
    <w:rsid w:val="00D51CDF"/>
    <w:rsid w:val="00D54025"/>
    <w:rsid w:val="00D572AA"/>
    <w:rsid w:val="00D62ECC"/>
    <w:rsid w:val="00D65D0C"/>
    <w:rsid w:val="00D66DEE"/>
    <w:rsid w:val="00D76E49"/>
    <w:rsid w:val="00D82CE1"/>
    <w:rsid w:val="00D85869"/>
    <w:rsid w:val="00D86467"/>
    <w:rsid w:val="00D91F82"/>
    <w:rsid w:val="00DB1DFF"/>
    <w:rsid w:val="00DB2524"/>
    <w:rsid w:val="00DB61FA"/>
    <w:rsid w:val="00DB6415"/>
    <w:rsid w:val="00DB65BF"/>
    <w:rsid w:val="00DB683D"/>
    <w:rsid w:val="00DC6841"/>
    <w:rsid w:val="00DC7AFC"/>
    <w:rsid w:val="00DD1AC5"/>
    <w:rsid w:val="00DD3CE1"/>
    <w:rsid w:val="00DD4FF0"/>
    <w:rsid w:val="00DD5B0E"/>
    <w:rsid w:val="00DD747B"/>
    <w:rsid w:val="00DE0F32"/>
    <w:rsid w:val="00DE3121"/>
    <w:rsid w:val="00DE5002"/>
    <w:rsid w:val="00DE665E"/>
    <w:rsid w:val="00DF0A86"/>
    <w:rsid w:val="00DF1254"/>
    <w:rsid w:val="00DF6B84"/>
    <w:rsid w:val="00E06FA8"/>
    <w:rsid w:val="00E07555"/>
    <w:rsid w:val="00E14852"/>
    <w:rsid w:val="00E201F0"/>
    <w:rsid w:val="00E21E90"/>
    <w:rsid w:val="00E24C26"/>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3BA"/>
    <w:rsid w:val="00EA1CA1"/>
    <w:rsid w:val="00EA209C"/>
    <w:rsid w:val="00EB4D08"/>
    <w:rsid w:val="00EB5B53"/>
    <w:rsid w:val="00EB5EFC"/>
    <w:rsid w:val="00EB7915"/>
    <w:rsid w:val="00EC0608"/>
    <w:rsid w:val="00EC1DE7"/>
    <w:rsid w:val="00EC4E8B"/>
    <w:rsid w:val="00EC5F3B"/>
    <w:rsid w:val="00EC6768"/>
    <w:rsid w:val="00ED1B7E"/>
    <w:rsid w:val="00ED2ABC"/>
    <w:rsid w:val="00ED4E07"/>
    <w:rsid w:val="00EE02BD"/>
    <w:rsid w:val="00EE1BFB"/>
    <w:rsid w:val="00EE2F6A"/>
    <w:rsid w:val="00EE56F9"/>
    <w:rsid w:val="00F013C7"/>
    <w:rsid w:val="00F039FF"/>
    <w:rsid w:val="00F0406B"/>
    <w:rsid w:val="00F07949"/>
    <w:rsid w:val="00F115CB"/>
    <w:rsid w:val="00F13FE9"/>
    <w:rsid w:val="00F16C7E"/>
    <w:rsid w:val="00F23043"/>
    <w:rsid w:val="00F2345B"/>
    <w:rsid w:val="00F23463"/>
    <w:rsid w:val="00F25750"/>
    <w:rsid w:val="00F31BF7"/>
    <w:rsid w:val="00F32A3B"/>
    <w:rsid w:val="00F371E2"/>
    <w:rsid w:val="00F40EE2"/>
    <w:rsid w:val="00F41EE3"/>
    <w:rsid w:val="00F46818"/>
    <w:rsid w:val="00F47ACE"/>
    <w:rsid w:val="00F550C7"/>
    <w:rsid w:val="00F6181C"/>
    <w:rsid w:val="00F65D87"/>
    <w:rsid w:val="00F676EE"/>
    <w:rsid w:val="00F67BDE"/>
    <w:rsid w:val="00F704B5"/>
    <w:rsid w:val="00F73632"/>
    <w:rsid w:val="00F8011E"/>
    <w:rsid w:val="00F80EF9"/>
    <w:rsid w:val="00F811E1"/>
    <w:rsid w:val="00F8492F"/>
    <w:rsid w:val="00F91EAB"/>
    <w:rsid w:val="00F948B8"/>
    <w:rsid w:val="00FA197D"/>
    <w:rsid w:val="00FA47BF"/>
    <w:rsid w:val="00FB1841"/>
    <w:rsid w:val="00FB28C4"/>
    <w:rsid w:val="00FB2AC2"/>
    <w:rsid w:val="00FB36CB"/>
    <w:rsid w:val="00FB65D1"/>
    <w:rsid w:val="00FC53B9"/>
    <w:rsid w:val="00FD010C"/>
    <w:rsid w:val="00FD5242"/>
    <w:rsid w:val="00FD641A"/>
    <w:rsid w:val="00FD6A1D"/>
    <w:rsid w:val="00FE0D9E"/>
    <w:rsid w:val="00FE1FAE"/>
    <w:rsid w:val="00FE2981"/>
    <w:rsid w:val="00FF18F5"/>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1CADDCAE-5419-44A0-B3D6-4A214A6D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 w:type="paragraph" w:styleId="af0">
    <w:name w:val="Revision"/>
    <w:hidden/>
    <w:uiPriority w:val="99"/>
    <w:semiHidden/>
    <w:rsid w:val="00735CF1"/>
    <w:rPr>
      <w:rFonts w:ascii="宋体" w:hAnsi="宋体"/>
      <w:kern w:val="2"/>
      <w:sz w:val="24"/>
      <w:szCs w:val="24"/>
    </w:rPr>
  </w:style>
  <w:style w:type="character" w:styleId="af1">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3CE8-D63E-46D3-BD11-525AAD68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1177</Characters>
  <Application>Microsoft Office Word</Application>
  <DocSecurity>0</DocSecurity>
  <Lines>9</Lines>
  <Paragraphs>2</Paragraphs>
  <ScaleCrop>false</ScaleCrop>
  <Company>應之軒</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小刚</cp:lastModifiedBy>
  <cp:revision>3</cp:revision>
  <cp:lastPrinted>2023-11-07T07:48:00Z</cp:lastPrinted>
  <dcterms:created xsi:type="dcterms:W3CDTF">2025-05-08T09:40:00Z</dcterms:created>
  <dcterms:modified xsi:type="dcterms:W3CDTF">2025-05-08T09:58:00Z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