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1870A785" w:rsidR="003B1D4A" w:rsidRDefault="00270B39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 w:rsidR="001921E9">
        <w:rPr>
          <w:rFonts w:ascii="华文中宋" w:eastAsia="华文中宋" w:hAnsi="华文中宋" w:cs="华文中宋"/>
          <w:b/>
          <w:sz w:val="32"/>
          <w:szCs w:val="32"/>
        </w:rPr>
        <w:t>6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1921E9">
        <w:rPr>
          <w:rFonts w:ascii="华文中宋" w:eastAsia="华文中宋" w:hAnsi="华文中宋" w:cs="华文中宋"/>
          <w:b/>
          <w:sz w:val="32"/>
          <w:szCs w:val="32"/>
        </w:rPr>
        <w:t>10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C57A7F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r w:rsidR="001921E9">
        <w:rPr>
          <w:rFonts w:ascii="华文中宋" w:eastAsia="华文中宋" w:hAnsi="华文中宋" w:cs="华文中宋"/>
          <w:b/>
          <w:sz w:val="32"/>
          <w:szCs w:val="32"/>
        </w:rPr>
        <w:t>13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1C495DCC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</w:t>
      </w:r>
      <w:r w:rsidR="00D76376">
        <w:rPr>
          <w:rFonts w:cs="宋体"/>
          <w:b/>
          <w:bCs/>
        </w:rPr>
        <w:t xml:space="preserve"> </w:t>
      </w:r>
      <w:r w:rsidR="00D91F82">
        <w:rPr>
          <w:rFonts w:cs="宋体"/>
          <w:b/>
          <w:bCs/>
        </w:rPr>
        <w:t xml:space="preserve">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270B39">
        <w:rPr>
          <w:rFonts w:cs="宋体" w:hint="eastAsia"/>
          <w:b/>
          <w:bCs/>
        </w:rPr>
        <w:t>0</w:t>
      </w:r>
      <w:r w:rsidR="00270B39">
        <w:rPr>
          <w:rFonts w:cs="宋体"/>
          <w:b/>
          <w:bCs/>
        </w:rPr>
        <w:t>1</w:t>
      </w:r>
      <w:r w:rsidR="00D76376">
        <w:rPr>
          <w:rFonts w:cs="宋体"/>
          <w:b/>
          <w:bCs/>
        </w:rPr>
        <w:t>5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317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  <w:bookmarkStart w:id="0" w:name="_GoBack"/>
            <w:bookmarkEnd w:id="0"/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65712304" w:rsidR="00E869B5" w:rsidRPr="00080090" w:rsidRDefault="00B363F5" w:rsidP="002F7112">
            <w:pPr>
              <w:ind w:firstLineChars="0" w:firstLine="0"/>
            </w:pPr>
            <w:r>
              <w:t>银华基金；中邮基金；民生加银基金；</w:t>
            </w:r>
            <w:r w:rsidR="002F7112" w:rsidRPr="002F7112">
              <w:rPr>
                <w:rFonts w:hint="eastAsia"/>
              </w:rPr>
              <w:t>长盛基金；</w:t>
            </w:r>
            <w:r w:rsidR="002F7112">
              <w:rPr>
                <w:rFonts w:hint="eastAsia"/>
              </w:rPr>
              <w:t>东兴基金；</w:t>
            </w:r>
            <w:r w:rsidR="002F7112" w:rsidRPr="002F7112">
              <w:rPr>
                <w:rFonts w:hint="eastAsia"/>
              </w:rPr>
              <w:t>九泰基金；方正富邦基金；</w:t>
            </w:r>
            <w:r>
              <w:t>申万宏源证券；中邮证券；</w:t>
            </w:r>
            <w:r>
              <w:rPr>
                <w:rFonts w:hint="eastAsia"/>
              </w:rPr>
              <w:t>中信资管；北京宏道投资管理有限公司</w:t>
            </w:r>
            <w:r>
              <w:t>；</w:t>
            </w:r>
            <w:r>
              <w:rPr>
                <w:rFonts w:hint="eastAsia"/>
              </w:rPr>
              <w:t>银河证券；方正证券；平安</w:t>
            </w:r>
            <w:r w:rsidR="002F7112">
              <w:rPr>
                <w:rFonts w:hint="eastAsia"/>
              </w:rPr>
              <w:t>证券</w:t>
            </w:r>
            <w:r>
              <w:rPr>
                <w:rFonts w:hint="eastAsia"/>
              </w:rPr>
              <w:t>；信泰人寿</w:t>
            </w:r>
            <w:r w:rsidR="002F7112">
              <w:rPr>
                <w:rFonts w:hint="eastAsia"/>
              </w:rPr>
              <w:t>保险；</w:t>
            </w:r>
            <w:r>
              <w:rPr>
                <w:rFonts w:hint="eastAsia"/>
              </w:rPr>
              <w:t>深圳前海天行健资本管理有限公司</w:t>
            </w:r>
            <w:r w:rsidR="002F7112">
              <w:rPr>
                <w:rFonts w:hint="eastAsia"/>
              </w:rPr>
              <w:t>；</w:t>
            </w:r>
            <w:r>
              <w:rPr>
                <w:rFonts w:hint="eastAsia"/>
              </w:rPr>
              <w:t>大家资产</w:t>
            </w:r>
            <w:r w:rsidR="002F7112">
              <w:rPr>
                <w:rFonts w:hint="eastAsia"/>
              </w:rPr>
              <w:t>；</w:t>
            </w:r>
            <w:r w:rsidR="00870CD0">
              <w:rPr>
                <w:rFonts w:hint="eastAsia"/>
              </w:rPr>
              <w:t>华泰证券；</w:t>
            </w:r>
            <w:r>
              <w:rPr>
                <w:rFonts w:hint="eastAsia"/>
              </w:rPr>
              <w:t>北京乐心资产管理有限公司</w:t>
            </w:r>
            <w:r w:rsidR="002F7112">
              <w:rPr>
                <w:rFonts w:hint="eastAsia"/>
              </w:rPr>
              <w:t>；</w:t>
            </w:r>
            <w:r>
              <w:rPr>
                <w:rFonts w:hint="eastAsia"/>
              </w:rPr>
              <w:t>中金资管</w:t>
            </w:r>
            <w:r w:rsidR="002F7112">
              <w:rPr>
                <w:rFonts w:hint="eastAsia"/>
              </w:rPr>
              <w:t>；利多星（上海）投资有限公司；上海岱夏投资管理有限公司；</w:t>
            </w:r>
            <w:r w:rsidR="00870CD0" w:rsidRPr="00870CD0">
              <w:rPr>
                <w:rFonts w:hint="eastAsia"/>
              </w:rPr>
              <w:t>北京星熹元私募证券基金</w:t>
            </w:r>
            <w:r w:rsidR="00870CD0">
              <w:rPr>
                <w:rFonts w:hint="eastAsia"/>
              </w:rPr>
              <w:t>；乾锦豪（深圳）资产管理有限公司；</w:t>
            </w:r>
            <w:r w:rsidR="002F7112">
              <w:rPr>
                <w:rFonts w:hint="eastAsia"/>
              </w:rPr>
              <w:t>华西证券</w:t>
            </w:r>
            <w:r w:rsidR="00400AE2"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3B126735" w:rsidR="003B1D4A" w:rsidRPr="00642DC5" w:rsidRDefault="00C22188" w:rsidP="007122B4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 w:rsidR="007122B4">
              <w:t>6</w:t>
            </w:r>
            <w:r w:rsidRPr="00642DC5">
              <w:rPr>
                <w:rFonts w:hint="eastAsia"/>
              </w:rPr>
              <w:t>月</w:t>
            </w:r>
            <w:r w:rsidR="007122B4">
              <w:t>10</w:t>
            </w:r>
            <w:r w:rsidR="00273119" w:rsidRPr="00642DC5">
              <w:t>日</w:t>
            </w:r>
            <w:r w:rsidR="007122B4">
              <w:rPr>
                <w:rFonts w:hint="eastAsia"/>
              </w:rPr>
              <w:t>；2</w:t>
            </w:r>
            <w:r w:rsidR="007122B4">
              <w:t>025年</w:t>
            </w:r>
            <w:r w:rsidR="007122B4">
              <w:rPr>
                <w:rFonts w:hint="eastAsia"/>
              </w:rPr>
              <w:t>6月1</w:t>
            </w:r>
            <w:r w:rsidR="007122B4">
              <w:t>1日；</w:t>
            </w:r>
            <w:r w:rsidR="007122B4">
              <w:rPr>
                <w:rFonts w:hint="eastAsia"/>
              </w:rPr>
              <w:t>2</w:t>
            </w:r>
            <w:r w:rsidR="007122B4">
              <w:t>025年</w:t>
            </w:r>
            <w:r w:rsidR="007122B4">
              <w:rPr>
                <w:rFonts w:hint="eastAsia"/>
              </w:rPr>
              <w:t>6月1</w:t>
            </w:r>
            <w:r w:rsidR="007122B4">
              <w:t>2日；</w:t>
            </w:r>
            <w:r w:rsidR="007122B4">
              <w:rPr>
                <w:rFonts w:hint="eastAsia"/>
              </w:rPr>
              <w:t>2</w:t>
            </w:r>
            <w:r w:rsidR="007122B4">
              <w:t>025年</w:t>
            </w:r>
            <w:r w:rsidR="007122B4">
              <w:rPr>
                <w:rFonts w:hint="eastAsia"/>
              </w:rPr>
              <w:t>6月1</w:t>
            </w:r>
            <w:r w:rsidR="007122B4">
              <w:t>3日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4E45AEA7" w:rsidR="003B1D4A" w:rsidRDefault="00C57A7F" w:rsidP="00A0677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49BFF728" w14:textId="254AA018" w:rsidR="00DD5B0E" w:rsidRDefault="00C22188" w:rsidP="00EB4D08">
            <w:pPr>
              <w:ind w:firstLineChars="0" w:firstLine="0"/>
            </w:pPr>
            <w:r>
              <w:rPr>
                <w:rFonts w:hint="eastAsia"/>
              </w:rPr>
              <w:t>董事会</w:t>
            </w:r>
            <w:r>
              <w:t>秘书</w:t>
            </w:r>
            <w:r w:rsidR="00DD5B0E">
              <w:t>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2DCB5A56" w14:textId="1AC04721" w:rsidR="004454D8" w:rsidRDefault="00D14EAE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77475E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4C651B">
              <w:rPr>
                <w:rFonts w:asciiTheme="minorEastAsia" w:eastAsiaTheme="minorEastAsia" w:hAnsiTheme="minorEastAsia" w:hint="eastAsia"/>
                <w:b/>
                <w:bCs/>
              </w:rPr>
              <w:t>近期一汽、东风、广汽、比亚迪、塞力斯等车企宣布支付周期不超过6</w:t>
            </w:r>
            <w:r w:rsidR="004C651B">
              <w:rPr>
                <w:rFonts w:asciiTheme="minorEastAsia" w:eastAsiaTheme="minorEastAsia" w:hAnsiTheme="minorEastAsia"/>
                <w:b/>
                <w:bCs/>
              </w:rPr>
              <w:t>0天，</w:t>
            </w:r>
            <w:r w:rsidR="004C651B" w:rsidRPr="004C651B">
              <w:rPr>
                <w:rFonts w:asciiTheme="minorEastAsia" w:eastAsiaTheme="minorEastAsia" w:hAnsiTheme="minorEastAsia" w:hint="eastAsia"/>
                <w:b/>
                <w:bCs/>
              </w:rPr>
              <w:t>请问</w:t>
            </w:r>
            <w:r w:rsidR="004C651B">
              <w:rPr>
                <w:rFonts w:asciiTheme="minorEastAsia" w:eastAsiaTheme="minorEastAsia" w:hAnsiTheme="minorEastAsia" w:hint="eastAsia"/>
                <w:b/>
                <w:bCs/>
              </w:rPr>
              <w:t>是否有助于公司后续改善现金流</w:t>
            </w:r>
            <w:r w:rsidR="004454D8">
              <w:rPr>
                <w:rFonts w:asciiTheme="minorEastAsia" w:eastAsiaTheme="minorEastAsia" w:hAnsiTheme="minorEastAsia" w:hint="eastAsia"/>
                <w:b/>
                <w:bCs/>
              </w:rPr>
              <w:t>？</w:t>
            </w:r>
          </w:p>
          <w:p w14:paraId="0C2DD88D" w14:textId="639A78E3" w:rsidR="004454D8" w:rsidRPr="007A21E3" w:rsidRDefault="004454D8" w:rsidP="004C651B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7A21E3">
              <w:rPr>
                <w:rFonts w:asciiTheme="minorEastAsia" w:eastAsiaTheme="minorEastAsia" w:hAnsiTheme="minorEastAsia"/>
                <w:bCs/>
              </w:rPr>
              <w:t>答：</w:t>
            </w:r>
            <w:r w:rsidR="004C651B">
              <w:rPr>
                <w:rFonts w:asciiTheme="minorEastAsia" w:eastAsiaTheme="minorEastAsia" w:hAnsiTheme="minorEastAsia"/>
                <w:bCs/>
              </w:rPr>
              <w:t>上述车企的举措有利于</w:t>
            </w:r>
            <w:r w:rsidR="00397F2E">
              <w:rPr>
                <w:rFonts w:asciiTheme="minorEastAsia" w:eastAsiaTheme="minorEastAsia" w:hAnsiTheme="minorEastAsia" w:hint="eastAsia"/>
                <w:bCs/>
              </w:rPr>
              <w:t>改善</w:t>
            </w:r>
            <w:r w:rsidR="004C651B">
              <w:rPr>
                <w:rFonts w:asciiTheme="minorEastAsia" w:eastAsiaTheme="minorEastAsia" w:hAnsiTheme="minorEastAsia"/>
                <w:bCs/>
              </w:rPr>
              <w:t>公司的现金流</w:t>
            </w:r>
            <w:r w:rsidR="00397F2E">
              <w:rPr>
                <w:rFonts w:asciiTheme="minorEastAsia" w:eastAsiaTheme="minorEastAsia" w:hAnsiTheme="minorEastAsia"/>
                <w:bCs/>
              </w:rPr>
              <w:t>。公司高度重视现金流改善工作，</w:t>
            </w:r>
            <w:r w:rsidR="00397F2E">
              <w:rPr>
                <w:rFonts w:asciiTheme="minorEastAsia" w:eastAsiaTheme="minorEastAsia" w:hAnsiTheme="minorEastAsia" w:hint="eastAsia"/>
                <w:bCs/>
              </w:rPr>
              <w:t>持续</w:t>
            </w:r>
            <w:r w:rsidR="00397F2E" w:rsidRPr="00397F2E">
              <w:rPr>
                <w:rFonts w:asciiTheme="minorEastAsia" w:eastAsiaTheme="minorEastAsia" w:hAnsiTheme="minorEastAsia" w:hint="eastAsia"/>
                <w:bCs/>
              </w:rPr>
              <w:t>加强现金流预算管理，切实执行现金流预算制度，推行资金计划与业务计划的穿透式管理，实现预算编制、执行监控、差异分析的闭环管控。</w:t>
            </w:r>
          </w:p>
          <w:p w14:paraId="1262C0AB" w14:textId="709F50B1" w:rsidR="0077475E" w:rsidRDefault="004454D8" w:rsidP="00085A0F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lastRenderedPageBreak/>
              <w:t>2、</w:t>
            </w:r>
            <w:r w:rsidR="00237077">
              <w:rPr>
                <w:rFonts w:asciiTheme="minorEastAsia" w:eastAsiaTheme="minorEastAsia" w:hAnsiTheme="minorEastAsia" w:hint="eastAsia"/>
                <w:b/>
                <w:bCs/>
              </w:rPr>
              <w:t>2025年</w:t>
            </w:r>
            <w:r w:rsidR="005830BB">
              <w:rPr>
                <w:rFonts w:asciiTheme="minorEastAsia" w:eastAsiaTheme="minorEastAsia" w:hAnsiTheme="minorEastAsia" w:hint="eastAsia"/>
                <w:b/>
                <w:bCs/>
              </w:rPr>
              <w:t>公司</w:t>
            </w:r>
            <w:r w:rsidR="008859AE">
              <w:rPr>
                <w:rFonts w:asciiTheme="minorEastAsia" w:eastAsiaTheme="minorEastAsia" w:hAnsiTheme="minorEastAsia" w:hint="eastAsia"/>
                <w:b/>
                <w:bCs/>
              </w:rPr>
              <w:t>在</w:t>
            </w:r>
            <w:r w:rsidR="00237077">
              <w:rPr>
                <w:rFonts w:asciiTheme="minorEastAsia" w:eastAsiaTheme="minorEastAsia" w:hAnsiTheme="minorEastAsia" w:hint="eastAsia"/>
                <w:b/>
                <w:bCs/>
              </w:rPr>
              <w:t>汽车电子芯片</w:t>
            </w:r>
            <w:r w:rsidR="008859AE">
              <w:rPr>
                <w:rFonts w:asciiTheme="minorEastAsia" w:eastAsiaTheme="minorEastAsia" w:hAnsiTheme="minorEastAsia" w:hint="eastAsia"/>
                <w:b/>
                <w:bCs/>
              </w:rPr>
              <w:t>市场拓展方面</w:t>
            </w:r>
            <w:r w:rsidR="00C86D69">
              <w:rPr>
                <w:rFonts w:asciiTheme="minorEastAsia" w:eastAsiaTheme="minorEastAsia" w:hAnsiTheme="minorEastAsia" w:hint="eastAsia"/>
                <w:b/>
                <w:bCs/>
              </w:rPr>
              <w:t>取得的成果和主要举措</w:t>
            </w:r>
            <w:r w:rsidR="006D6E1A">
              <w:rPr>
                <w:rFonts w:asciiTheme="minorEastAsia" w:eastAsiaTheme="minorEastAsia" w:hAnsiTheme="minorEastAsia" w:hint="eastAsia"/>
                <w:b/>
                <w:bCs/>
              </w:rPr>
              <w:t>可否介绍一下</w:t>
            </w:r>
            <w:r w:rsidR="00400AE2">
              <w:rPr>
                <w:rFonts w:asciiTheme="minorEastAsia" w:eastAsiaTheme="minorEastAsia" w:hAnsiTheme="minorEastAsia" w:hint="eastAsia"/>
                <w:b/>
                <w:bCs/>
              </w:rPr>
              <w:t>？</w:t>
            </w:r>
          </w:p>
          <w:p w14:paraId="0634D5FA" w14:textId="7631767F" w:rsidR="00C86D69" w:rsidRDefault="00400AE2" w:rsidP="00C86D69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C62E7C">
              <w:rPr>
                <w:rFonts w:asciiTheme="minorEastAsia" w:eastAsiaTheme="minorEastAsia" w:hAnsiTheme="minorEastAsia"/>
                <w:bCs/>
              </w:rPr>
              <w:t>答：</w:t>
            </w:r>
            <w:r w:rsidR="006D6E1A">
              <w:rPr>
                <w:rFonts w:asciiTheme="minorEastAsia" w:eastAsiaTheme="minorEastAsia" w:hAnsiTheme="minorEastAsia" w:hint="eastAsia"/>
                <w:bCs/>
              </w:rPr>
              <w:t>2</w:t>
            </w:r>
            <w:r w:rsidR="006D6E1A">
              <w:rPr>
                <w:rFonts w:asciiTheme="minorEastAsia" w:eastAsiaTheme="minorEastAsia" w:hAnsiTheme="minorEastAsia"/>
                <w:bCs/>
              </w:rPr>
              <w:t>025年</w:t>
            </w:r>
            <w:r w:rsidR="00B363F5">
              <w:rPr>
                <w:rFonts w:asciiTheme="minorEastAsia" w:eastAsiaTheme="minorEastAsia" w:hAnsiTheme="minorEastAsia"/>
                <w:bCs/>
              </w:rPr>
              <w:t>以来</w:t>
            </w:r>
            <w:r w:rsidR="006D6E1A">
              <w:rPr>
                <w:rFonts w:asciiTheme="minorEastAsia" w:eastAsiaTheme="minorEastAsia" w:hAnsiTheme="minorEastAsia"/>
                <w:bCs/>
              </w:rPr>
              <w:t>，公司的汽车电子芯片业务的市场开拓取得明显效果，特别是</w:t>
            </w:r>
            <w:r w:rsidR="006D6E1A">
              <w:rPr>
                <w:rFonts w:hint="eastAsia"/>
              </w:rPr>
              <w:t>车联网安全芯片、安全气囊芯片、车身与网关芯片出货明显加速</w:t>
            </w:r>
            <w:r w:rsidR="00237077">
              <w:rPr>
                <w:rFonts w:hint="eastAsia"/>
              </w:rPr>
              <w:t>。公司</w:t>
            </w:r>
            <w:r w:rsidR="006E0F1E">
              <w:rPr>
                <w:rFonts w:hint="eastAsia"/>
              </w:rPr>
              <w:t>积极</w:t>
            </w:r>
            <w:r w:rsidR="006E0F1E" w:rsidRPr="006E0F1E">
              <w:rPr>
                <w:rFonts w:hint="eastAsia"/>
              </w:rPr>
              <w:t>贯彻“</w:t>
            </w:r>
            <w:r w:rsidR="006E0F1E" w:rsidRPr="006E0F1E">
              <w:t>MCU+”策略</w:t>
            </w:r>
            <w:r w:rsidR="006E0F1E">
              <w:t>，</w:t>
            </w:r>
            <w:r w:rsidR="006E0F1E" w:rsidRPr="006E0F1E">
              <w:t>以MCU、混合信号（含驱动类）、通信接口芯片和传感器芯片的整体方案来解决客户的“套片”方案式需求</w:t>
            </w:r>
            <w:r w:rsidR="006E0F1E">
              <w:t>，</w:t>
            </w:r>
            <w:r w:rsidR="002465D9">
              <w:rPr>
                <w:rFonts w:hint="eastAsia"/>
              </w:rPr>
              <w:t>与</w:t>
            </w:r>
            <w:r w:rsidR="002465D9" w:rsidRPr="002465D9">
              <w:rPr>
                <w:rFonts w:hint="eastAsia"/>
              </w:rPr>
              <w:t>安波福</w:t>
            </w:r>
            <w:r w:rsidR="00C86D69">
              <w:rPr>
                <w:rFonts w:hint="eastAsia"/>
              </w:rPr>
              <w:t>等</w:t>
            </w:r>
            <w:r w:rsidR="00C86D69" w:rsidRPr="00C86D69">
              <w:rPr>
                <w:rFonts w:hint="eastAsia"/>
              </w:rPr>
              <w:t>国际知名汽车零部件供应商</w:t>
            </w:r>
            <w:r w:rsidR="00C86D69">
              <w:rPr>
                <w:rFonts w:hint="eastAsia"/>
              </w:rPr>
              <w:t>也展开了积极合作</w:t>
            </w:r>
            <w:r w:rsidR="006D6E1A">
              <w:rPr>
                <w:rFonts w:hint="eastAsia"/>
              </w:rPr>
              <w:t>。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2025年，公司将进一步夯实与行业头部客户、大客户的合作基础，坚定不移地深化与行业头部客户以及大型客户的紧密合作关系，集中优势资源服务好关键客户，从而推动公司产品市场规模的增长。</w:t>
            </w:r>
            <w:r w:rsidR="00C86D69">
              <w:rPr>
                <w:rFonts w:asciiTheme="minorEastAsia" w:eastAsiaTheme="minorEastAsia" w:hAnsiTheme="minorEastAsia" w:hint="eastAsia"/>
                <w:bCs/>
              </w:rPr>
              <w:t>公司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将通过助力客户实现业务目标，与客户共同成长，携手开创互利共赢的新局面。</w:t>
            </w:r>
          </w:p>
          <w:p w14:paraId="43E6427F" w14:textId="7524067D" w:rsidR="008D4C4E" w:rsidRPr="00C86D69" w:rsidRDefault="00C86D69" w:rsidP="00C86D69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同时，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公司重视品牌传播工作，</w:t>
            </w:r>
            <w:r w:rsidR="00B363F5">
              <w:rPr>
                <w:rFonts w:asciiTheme="minorEastAsia" w:eastAsiaTheme="minorEastAsia" w:hAnsiTheme="minorEastAsia"/>
                <w:bCs/>
              </w:rPr>
              <w:t>积极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利用多种渠道扩大品牌影响力</w:t>
            </w:r>
            <w:r w:rsidR="00B363F5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="00B363F5">
              <w:rPr>
                <w:rFonts w:asciiTheme="minorEastAsia" w:eastAsiaTheme="minorEastAsia" w:hAnsiTheme="minorEastAsia"/>
                <w:bCs/>
              </w:rPr>
              <w:t>增加产品的市场拓展应用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。根据国芯科技中高端汽车电子芯片的产品</w:t>
            </w:r>
            <w:r w:rsidR="00237077">
              <w:rPr>
                <w:rFonts w:asciiTheme="minorEastAsia" w:eastAsiaTheme="minorEastAsia" w:hAnsiTheme="minorEastAsia" w:hint="eastAsia"/>
                <w:bCs/>
              </w:rPr>
              <w:t>和市场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定位</w:t>
            </w:r>
            <w:r w:rsidR="00237077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="00B363F5">
              <w:rPr>
                <w:rFonts w:asciiTheme="minorEastAsia" w:eastAsiaTheme="minorEastAsia" w:hAnsiTheme="minorEastAsia" w:hint="eastAsia"/>
                <w:bCs/>
              </w:rPr>
              <w:t>积极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参与包括慕尼黑上海电子</w:t>
            </w:r>
            <w:r>
              <w:rPr>
                <w:rFonts w:asciiTheme="minorEastAsia" w:eastAsiaTheme="minorEastAsia" w:hAnsiTheme="minorEastAsia"/>
                <w:bCs/>
              </w:rPr>
              <w:t>展、第二十一届上海国际汽车工业展览会、中国重点企业芯片成果展示</w:t>
            </w:r>
            <w:r w:rsidR="006D6E1A" w:rsidRPr="006D6E1A">
              <w:rPr>
                <w:rFonts w:asciiTheme="minorEastAsia" w:eastAsiaTheme="minorEastAsia" w:hAnsiTheme="minorEastAsia"/>
                <w:bCs/>
              </w:rPr>
              <w:t>等业内知名展会；积极联合中国汽车工业协会、中国汽车芯片产业创新战略联盟、苏州市自主可控智能汽车电子芯片创新联合体、苏州市汽车电子及零部件产业商会等主体开展活动；</w:t>
            </w:r>
            <w:r w:rsidR="006D6E1A" w:rsidRPr="006D6E1A">
              <w:rPr>
                <w:rFonts w:asciiTheme="minorEastAsia" w:eastAsiaTheme="minorEastAsia" w:hAnsiTheme="minorEastAsia" w:hint="eastAsia"/>
                <w:bCs/>
              </w:rPr>
              <w:t>继续</w:t>
            </w:r>
            <w:r>
              <w:rPr>
                <w:rFonts w:asciiTheme="minorEastAsia" w:eastAsiaTheme="minorEastAsia" w:hAnsiTheme="minorEastAsia" w:hint="eastAsia"/>
                <w:bCs/>
              </w:rPr>
              <w:t>开展</w:t>
            </w:r>
            <w:r w:rsidR="006D6E1A" w:rsidRPr="006D6E1A">
              <w:rPr>
                <w:rFonts w:asciiTheme="minorEastAsia" w:eastAsiaTheme="minorEastAsia" w:hAnsiTheme="minorEastAsia" w:hint="eastAsia"/>
                <w:bCs/>
              </w:rPr>
              <w:t>“走进主机厂”系列</w:t>
            </w:r>
            <w:r>
              <w:rPr>
                <w:rFonts w:asciiTheme="minorEastAsia" w:eastAsiaTheme="minorEastAsia" w:hAnsiTheme="minorEastAsia" w:hint="eastAsia"/>
                <w:bCs/>
              </w:rPr>
              <w:t>交流和研讨活动</w:t>
            </w:r>
            <w:r w:rsidR="006D6E1A" w:rsidRPr="006D6E1A">
              <w:rPr>
                <w:rFonts w:asciiTheme="minorEastAsia" w:eastAsiaTheme="minorEastAsia" w:hAnsiTheme="minorEastAsia" w:hint="eastAsia"/>
                <w:bCs/>
              </w:rPr>
              <w:t>，进一步提高品牌知名度和美誉度。通过系列组合拳，公</w:t>
            </w:r>
            <w:r w:rsidR="006D6E1A">
              <w:rPr>
                <w:rFonts w:asciiTheme="minorEastAsia" w:eastAsiaTheme="minorEastAsia" w:hAnsiTheme="minorEastAsia" w:hint="eastAsia"/>
                <w:bCs/>
              </w:rPr>
              <w:t>司可以获取最新市场信息，促进</w:t>
            </w:r>
            <w:r w:rsidR="00237077">
              <w:rPr>
                <w:rFonts w:asciiTheme="minorEastAsia" w:eastAsiaTheme="minorEastAsia" w:hAnsiTheme="minorEastAsia" w:hint="eastAsia"/>
                <w:bCs/>
              </w:rPr>
              <w:t>公司汽车电子芯片</w:t>
            </w:r>
            <w:r w:rsidR="006D6E1A">
              <w:rPr>
                <w:rFonts w:asciiTheme="minorEastAsia" w:eastAsiaTheme="minorEastAsia" w:hAnsiTheme="minorEastAsia" w:hint="eastAsia"/>
                <w:bCs/>
              </w:rPr>
              <w:t>技术创新、</w:t>
            </w:r>
            <w:r w:rsidR="00237077">
              <w:rPr>
                <w:rFonts w:asciiTheme="minorEastAsia" w:eastAsiaTheme="minorEastAsia" w:hAnsiTheme="minorEastAsia" w:hint="eastAsia"/>
                <w:bCs/>
              </w:rPr>
              <w:t>产品</w:t>
            </w:r>
            <w:r>
              <w:rPr>
                <w:rFonts w:asciiTheme="minorEastAsia" w:eastAsiaTheme="minorEastAsia" w:hAnsiTheme="minorEastAsia" w:hint="eastAsia"/>
                <w:bCs/>
              </w:rPr>
              <w:t>应用和</w:t>
            </w:r>
            <w:r w:rsidR="00237077">
              <w:rPr>
                <w:rFonts w:asciiTheme="minorEastAsia" w:eastAsiaTheme="minorEastAsia" w:hAnsiTheme="minorEastAsia" w:hint="eastAsia"/>
                <w:bCs/>
              </w:rPr>
              <w:t>市场</w:t>
            </w:r>
            <w:r w:rsidR="006D6E1A">
              <w:rPr>
                <w:rFonts w:asciiTheme="minorEastAsia" w:eastAsiaTheme="minorEastAsia" w:hAnsiTheme="minorEastAsia" w:hint="eastAsia"/>
                <w:bCs/>
              </w:rPr>
              <w:t>销售各方面的提升与合作</w:t>
            </w:r>
            <w:r w:rsidR="00FF01A6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  <w:p w14:paraId="126DBD9C" w14:textId="52370835" w:rsidR="004320E1" w:rsidRPr="008D4C4E" w:rsidRDefault="004320E1" w:rsidP="004320E1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  <w:p w14:paraId="1A363D14" w14:textId="7B6A7EB1" w:rsidR="007A1551" w:rsidRPr="00BB412B" w:rsidRDefault="009509CD" w:rsidP="00A825AB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日期</w:t>
            </w:r>
          </w:p>
        </w:tc>
        <w:tc>
          <w:tcPr>
            <w:tcW w:w="4248" w:type="pct"/>
          </w:tcPr>
          <w:p w14:paraId="790B7FB8" w14:textId="64909480" w:rsidR="003B1D4A" w:rsidRDefault="00A16287" w:rsidP="00C86D69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</w:t>
            </w:r>
            <w:r w:rsidR="00C86D69">
              <w:t>6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31DC" w14:textId="77777777" w:rsidR="00073290" w:rsidRDefault="00073290">
      <w:pPr>
        <w:spacing w:line="240" w:lineRule="auto"/>
      </w:pPr>
      <w:r>
        <w:separator/>
      </w:r>
    </w:p>
  </w:endnote>
  <w:endnote w:type="continuationSeparator" w:id="0">
    <w:p w14:paraId="6E439E08" w14:textId="77777777" w:rsidR="00073290" w:rsidRDefault="00073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2E496947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88E" w:rsidRPr="000F388E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96C45" w14:textId="77777777" w:rsidR="00073290" w:rsidRDefault="00073290" w:rsidP="001B3E8E">
      <w:r>
        <w:separator/>
      </w:r>
    </w:p>
  </w:footnote>
  <w:footnote w:type="continuationSeparator" w:id="0">
    <w:p w14:paraId="7C30E1A8" w14:textId="77777777" w:rsidR="00073290" w:rsidRDefault="0007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3AA6"/>
    <w:rsid w:val="0002425E"/>
    <w:rsid w:val="000245A8"/>
    <w:rsid w:val="00024A5A"/>
    <w:rsid w:val="00030F78"/>
    <w:rsid w:val="00031087"/>
    <w:rsid w:val="000318EA"/>
    <w:rsid w:val="00035234"/>
    <w:rsid w:val="00043106"/>
    <w:rsid w:val="00043834"/>
    <w:rsid w:val="00044F32"/>
    <w:rsid w:val="00045D3C"/>
    <w:rsid w:val="00046E30"/>
    <w:rsid w:val="00047AFF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D51"/>
    <w:rsid w:val="000C0942"/>
    <w:rsid w:val="000C0A85"/>
    <w:rsid w:val="000C62AA"/>
    <w:rsid w:val="000C6E91"/>
    <w:rsid w:val="000C77C8"/>
    <w:rsid w:val="000D496E"/>
    <w:rsid w:val="000D5976"/>
    <w:rsid w:val="000D7703"/>
    <w:rsid w:val="000E4190"/>
    <w:rsid w:val="000E59FE"/>
    <w:rsid w:val="000E67A7"/>
    <w:rsid w:val="000F29AC"/>
    <w:rsid w:val="000F388E"/>
    <w:rsid w:val="000F76F1"/>
    <w:rsid w:val="00101684"/>
    <w:rsid w:val="00103C51"/>
    <w:rsid w:val="00105F66"/>
    <w:rsid w:val="0010693D"/>
    <w:rsid w:val="00111531"/>
    <w:rsid w:val="00112460"/>
    <w:rsid w:val="00112DB2"/>
    <w:rsid w:val="00112F6A"/>
    <w:rsid w:val="00120B61"/>
    <w:rsid w:val="001216D2"/>
    <w:rsid w:val="001242F6"/>
    <w:rsid w:val="00125F0B"/>
    <w:rsid w:val="00130F81"/>
    <w:rsid w:val="00134BC2"/>
    <w:rsid w:val="00140015"/>
    <w:rsid w:val="0014023E"/>
    <w:rsid w:val="00146A97"/>
    <w:rsid w:val="00152377"/>
    <w:rsid w:val="00153E41"/>
    <w:rsid w:val="0016162C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81F4E"/>
    <w:rsid w:val="00182823"/>
    <w:rsid w:val="0018758E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3E8E"/>
    <w:rsid w:val="001B415F"/>
    <w:rsid w:val="001C220C"/>
    <w:rsid w:val="001C43E6"/>
    <w:rsid w:val="001D39D3"/>
    <w:rsid w:val="001D7980"/>
    <w:rsid w:val="001E393D"/>
    <w:rsid w:val="001E68F5"/>
    <w:rsid w:val="001E6D92"/>
    <w:rsid w:val="001F0120"/>
    <w:rsid w:val="001F1F33"/>
    <w:rsid w:val="001F3965"/>
    <w:rsid w:val="001F50AB"/>
    <w:rsid w:val="001F6EE7"/>
    <w:rsid w:val="00201EC5"/>
    <w:rsid w:val="0020252F"/>
    <w:rsid w:val="002062A3"/>
    <w:rsid w:val="0021164E"/>
    <w:rsid w:val="00221D0E"/>
    <w:rsid w:val="00226B8D"/>
    <w:rsid w:val="002302A5"/>
    <w:rsid w:val="0023138E"/>
    <w:rsid w:val="00232D5C"/>
    <w:rsid w:val="00236D23"/>
    <w:rsid w:val="00237077"/>
    <w:rsid w:val="002379FB"/>
    <w:rsid w:val="00240ADB"/>
    <w:rsid w:val="00241E16"/>
    <w:rsid w:val="0024207E"/>
    <w:rsid w:val="00242515"/>
    <w:rsid w:val="00245C8B"/>
    <w:rsid w:val="002465D9"/>
    <w:rsid w:val="00257027"/>
    <w:rsid w:val="0026423A"/>
    <w:rsid w:val="00264E4B"/>
    <w:rsid w:val="00270B39"/>
    <w:rsid w:val="00273119"/>
    <w:rsid w:val="002759CE"/>
    <w:rsid w:val="00282E0C"/>
    <w:rsid w:val="00295817"/>
    <w:rsid w:val="00296139"/>
    <w:rsid w:val="00296285"/>
    <w:rsid w:val="00297A86"/>
    <w:rsid w:val="002A2F81"/>
    <w:rsid w:val="002A7845"/>
    <w:rsid w:val="002B44A4"/>
    <w:rsid w:val="002B5D4D"/>
    <w:rsid w:val="002B5DAF"/>
    <w:rsid w:val="002C03AB"/>
    <w:rsid w:val="002C12B0"/>
    <w:rsid w:val="002C205A"/>
    <w:rsid w:val="002C648D"/>
    <w:rsid w:val="002C786C"/>
    <w:rsid w:val="002D596F"/>
    <w:rsid w:val="002D7A17"/>
    <w:rsid w:val="002E1C16"/>
    <w:rsid w:val="002E6A35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2E87"/>
    <w:rsid w:val="003255AC"/>
    <w:rsid w:val="00326D0E"/>
    <w:rsid w:val="003272B2"/>
    <w:rsid w:val="003276AC"/>
    <w:rsid w:val="00330F46"/>
    <w:rsid w:val="00333F0D"/>
    <w:rsid w:val="003340C8"/>
    <w:rsid w:val="00334624"/>
    <w:rsid w:val="0033475C"/>
    <w:rsid w:val="0034127D"/>
    <w:rsid w:val="003440A2"/>
    <w:rsid w:val="003446DB"/>
    <w:rsid w:val="00346C7F"/>
    <w:rsid w:val="00350417"/>
    <w:rsid w:val="00354495"/>
    <w:rsid w:val="003566F2"/>
    <w:rsid w:val="00356F28"/>
    <w:rsid w:val="0035726E"/>
    <w:rsid w:val="00362A4A"/>
    <w:rsid w:val="00363AB1"/>
    <w:rsid w:val="003657EE"/>
    <w:rsid w:val="00366D1D"/>
    <w:rsid w:val="00377CAE"/>
    <w:rsid w:val="0038425F"/>
    <w:rsid w:val="00384386"/>
    <w:rsid w:val="00385DD4"/>
    <w:rsid w:val="00387FC4"/>
    <w:rsid w:val="00390926"/>
    <w:rsid w:val="00391034"/>
    <w:rsid w:val="00392340"/>
    <w:rsid w:val="00395451"/>
    <w:rsid w:val="00397F2E"/>
    <w:rsid w:val="003A0DBA"/>
    <w:rsid w:val="003A3878"/>
    <w:rsid w:val="003A4952"/>
    <w:rsid w:val="003A7D35"/>
    <w:rsid w:val="003B0CCC"/>
    <w:rsid w:val="003B12F2"/>
    <w:rsid w:val="003B1D4A"/>
    <w:rsid w:val="003B2CA8"/>
    <w:rsid w:val="003B5DA0"/>
    <w:rsid w:val="003C0A41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EEE"/>
    <w:rsid w:val="00404552"/>
    <w:rsid w:val="00405AF5"/>
    <w:rsid w:val="004123C1"/>
    <w:rsid w:val="0042108B"/>
    <w:rsid w:val="004218FC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405A"/>
    <w:rsid w:val="00444F9B"/>
    <w:rsid w:val="004454D8"/>
    <w:rsid w:val="00450AF7"/>
    <w:rsid w:val="00452594"/>
    <w:rsid w:val="0045488B"/>
    <w:rsid w:val="00455C03"/>
    <w:rsid w:val="00457665"/>
    <w:rsid w:val="00457CFD"/>
    <w:rsid w:val="00462710"/>
    <w:rsid w:val="00472458"/>
    <w:rsid w:val="00483906"/>
    <w:rsid w:val="0048424D"/>
    <w:rsid w:val="00484424"/>
    <w:rsid w:val="00497320"/>
    <w:rsid w:val="004A4889"/>
    <w:rsid w:val="004A4E81"/>
    <w:rsid w:val="004A5EDB"/>
    <w:rsid w:val="004B440D"/>
    <w:rsid w:val="004B5DC8"/>
    <w:rsid w:val="004B7389"/>
    <w:rsid w:val="004C395A"/>
    <w:rsid w:val="004C651B"/>
    <w:rsid w:val="004C6A2D"/>
    <w:rsid w:val="004D3594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3CA7"/>
    <w:rsid w:val="00510501"/>
    <w:rsid w:val="00511501"/>
    <w:rsid w:val="00515580"/>
    <w:rsid w:val="00515807"/>
    <w:rsid w:val="00515F83"/>
    <w:rsid w:val="005165A6"/>
    <w:rsid w:val="00516F78"/>
    <w:rsid w:val="00527B3A"/>
    <w:rsid w:val="0053050B"/>
    <w:rsid w:val="005331FE"/>
    <w:rsid w:val="005354D9"/>
    <w:rsid w:val="005355E0"/>
    <w:rsid w:val="00540173"/>
    <w:rsid w:val="0054403E"/>
    <w:rsid w:val="005545F5"/>
    <w:rsid w:val="00557CBA"/>
    <w:rsid w:val="005639B1"/>
    <w:rsid w:val="005644C5"/>
    <w:rsid w:val="005673C2"/>
    <w:rsid w:val="00575414"/>
    <w:rsid w:val="005767CC"/>
    <w:rsid w:val="00580521"/>
    <w:rsid w:val="005830BB"/>
    <w:rsid w:val="00583BF1"/>
    <w:rsid w:val="00585C74"/>
    <w:rsid w:val="005906B5"/>
    <w:rsid w:val="00592BDD"/>
    <w:rsid w:val="005A0297"/>
    <w:rsid w:val="005A1F10"/>
    <w:rsid w:val="005A39A6"/>
    <w:rsid w:val="005B2184"/>
    <w:rsid w:val="005B2D9E"/>
    <w:rsid w:val="005B58E0"/>
    <w:rsid w:val="005B7CFD"/>
    <w:rsid w:val="005C09A5"/>
    <w:rsid w:val="005C6556"/>
    <w:rsid w:val="005D0399"/>
    <w:rsid w:val="005D08E7"/>
    <w:rsid w:val="005D46E5"/>
    <w:rsid w:val="005D6758"/>
    <w:rsid w:val="005E2B0F"/>
    <w:rsid w:val="005E4B65"/>
    <w:rsid w:val="005F18C7"/>
    <w:rsid w:val="005F2DEE"/>
    <w:rsid w:val="005F38E0"/>
    <w:rsid w:val="0060128D"/>
    <w:rsid w:val="00601B40"/>
    <w:rsid w:val="00606E9E"/>
    <w:rsid w:val="006102AC"/>
    <w:rsid w:val="0061172E"/>
    <w:rsid w:val="00613B55"/>
    <w:rsid w:val="00616AF0"/>
    <w:rsid w:val="00626485"/>
    <w:rsid w:val="00627E46"/>
    <w:rsid w:val="00633D79"/>
    <w:rsid w:val="00635DFD"/>
    <w:rsid w:val="00640888"/>
    <w:rsid w:val="00642DC5"/>
    <w:rsid w:val="00643757"/>
    <w:rsid w:val="00644B3E"/>
    <w:rsid w:val="00645F17"/>
    <w:rsid w:val="006502E0"/>
    <w:rsid w:val="00653106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5550"/>
    <w:rsid w:val="00681235"/>
    <w:rsid w:val="0068525D"/>
    <w:rsid w:val="006A7D22"/>
    <w:rsid w:val="006B1A59"/>
    <w:rsid w:val="006B5A2D"/>
    <w:rsid w:val="006B60F4"/>
    <w:rsid w:val="006C1FB5"/>
    <w:rsid w:val="006C6924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20027"/>
    <w:rsid w:val="00721E89"/>
    <w:rsid w:val="00723514"/>
    <w:rsid w:val="007238EB"/>
    <w:rsid w:val="00723AF3"/>
    <w:rsid w:val="0073123E"/>
    <w:rsid w:val="007317F9"/>
    <w:rsid w:val="0073239E"/>
    <w:rsid w:val="007336B1"/>
    <w:rsid w:val="00734BF4"/>
    <w:rsid w:val="00735CF1"/>
    <w:rsid w:val="007371C1"/>
    <w:rsid w:val="007376A2"/>
    <w:rsid w:val="007417D9"/>
    <w:rsid w:val="00742EE0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409C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3ADF"/>
    <w:rsid w:val="007B5CFF"/>
    <w:rsid w:val="007C062A"/>
    <w:rsid w:val="007C1342"/>
    <w:rsid w:val="007C2E3C"/>
    <w:rsid w:val="007D056F"/>
    <w:rsid w:val="007D13E6"/>
    <w:rsid w:val="007D322B"/>
    <w:rsid w:val="007D7999"/>
    <w:rsid w:val="007D7FA7"/>
    <w:rsid w:val="007E2D8C"/>
    <w:rsid w:val="007F27BC"/>
    <w:rsid w:val="007F4C67"/>
    <w:rsid w:val="007F541E"/>
    <w:rsid w:val="00800986"/>
    <w:rsid w:val="00801933"/>
    <w:rsid w:val="00803419"/>
    <w:rsid w:val="00805D5B"/>
    <w:rsid w:val="00807EC0"/>
    <w:rsid w:val="00813423"/>
    <w:rsid w:val="008140F1"/>
    <w:rsid w:val="00814184"/>
    <w:rsid w:val="008152F6"/>
    <w:rsid w:val="008152F7"/>
    <w:rsid w:val="00816CE6"/>
    <w:rsid w:val="00820077"/>
    <w:rsid w:val="0082139B"/>
    <w:rsid w:val="008242C2"/>
    <w:rsid w:val="00824397"/>
    <w:rsid w:val="008243C3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F66"/>
    <w:rsid w:val="008468EA"/>
    <w:rsid w:val="00850D62"/>
    <w:rsid w:val="00853A56"/>
    <w:rsid w:val="0085717B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429B"/>
    <w:rsid w:val="008952D4"/>
    <w:rsid w:val="008966B9"/>
    <w:rsid w:val="0089689F"/>
    <w:rsid w:val="008978BA"/>
    <w:rsid w:val="008A1DBF"/>
    <w:rsid w:val="008A7F6E"/>
    <w:rsid w:val="008B17CD"/>
    <w:rsid w:val="008B3AA3"/>
    <w:rsid w:val="008B471A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9018C9"/>
    <w:rsid w:val="009040F8"/>
    <w:rsid w:val="0090467E"/>
    <w:rsid w:val="00905218"/>
    <w:rsid w:val="009061BA"/>
    <w:rsid w:val="00913484"/>
    <w:rsid w:val="009144FD"/>
    <w:rsid w:val="00920255"/>
    <w:rsid w:val="00923B6F"/>
    <w:rsid w:val="00932F1F"/>
    <w:rsid w:val="00933089"/>
    <w:rsid w:val="009330B5"/>
    <w:rsid w:val="00935BF7"/>
    <w:rsid w:val="00935C92"/>
    <w:rsid w:val="00943ABD"/>
    <w:rsid w:val="00943E34"/>
    <w:rsid w:val="0094461D"/>
    <w:rsid w:val="00944C69"/>
    <w:rsid w:val="009465C7"/>
    <w:rsid w:val="009509CD"/>
    <w:rsid w:val="0095119D"/>
    <w:rsid w:val="00954302"/>
    <w:rsid w:val="00956A4A"/>
    <w:rsid w:val="00957B96"/>
    <w:rsid w:val="009624C1"/>
    <w:rsid w:val="00962EFF"/>
    <w:rsid w:val="0097204E"/>
    <w:rsid w:val="00975DF4"/>
    <w:rsid w:val="00976AFB"/>
    <w:rsid w:val="00980430"/>
    <w:rsid w:val="00983A69"/>
    <w:rsid w:val="00992F11"/>
    <w:rsid w:val="0099453F"/>
    <w:rsid w:val="009979F9"/>
    <w:rsid w:val="009A1AA9"/>
    <w:rsid w:val="009A3C59"/>
    <w:rsid w:val="009B0820"/>
    <w:rsid w:val="009B0B72"/>
    <w:rsid w:val="009B3604"/>
    <w:rsid w:val="009B5F64"/>
    <w:rsid w:val="009C09F7"/>
    <w:rsid w:val="009C24B7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0677B"/>
    <w:rsid w:val="00A10392"/>
    <w:rsid w:val="00A10FD9"/>
    <w:rsid w:val="00A113F2"/>
    <w:rsid w:val="00A11663"/>
    <w:rsid w:val="00A11A75"/>
    <w:rsid w:val="00A124DF"/>
    <w:rsid w:val="00A14B72"/>
    <w:rsid w:val="00A160EB"/>
    <w:rsid w:val="00A16287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E72"/>
    <w:rsid w:val="00A64F9F"/>
    <w:rsid w:val="00A729AA"/>
    <w:rsid w:val="00A738EE"/>
    <w:rsid w:val="00A7409C"/>
    <w:rsid w:val="00A75A65"/>
    <w:rsid w:val="00A80005"/>
    <w:rsid w:val="00A803D4"/>
    <w:rsid w:val="00A80C0A"/>
    <w:rsid w:val="00A825AB"/>
    <w:rsid w:val="00A84AF3"/>
    <w:rsid w:val="00A85601"/>
    <w:rsid w:val="00A86646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E01"/>
    <w:rsid w:val="00B35DD3"/>
    <w:rsid w:val="00B363F5"/>
    <w:rsid w:val="00B3690C"/>
    <w:rsid w:val="00B36E30"/>
    <w:rsid w:val="00B3772E"/>
    <w:rsid w:val="00B41AEC"/>
    <w:rsid w:val="00B43643"/>
    <w:rsid w:val="00B50D65"/>
    <w:rsid w:val="00B521E9"/>
    <w:rsid w:val="00B52A07"/>
    <w:rsid w:val="00B561F8"/>
    <w:rsid w:val="00B56851"/>
    <w:rsid w:val="00B61B68"/>
    <w:rsid w:val="00B652F0"/>
    <w:rsid w:val="00B7320A"/>
    <w:rsid w:val="00B75A23"/>
    <w:rsid w:val="00B7689C"/>
    <w:rsid w:val="00B768A5"/>
    <w:rsid w:val="00B82D4B"/>
    <w:rsid w:val="00B841C8"/>
    <w:rsid w:val="00B85986"/>
    <w:rsid w:val="00B9309B"/>
    <w:rsid w:val="00BA29D9"/>
    <w:rsid w:val="00BA3800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791"/>
    <w:rsid w:val="00BE1E34"/>
    <w:rsid w:val="00BE5311"/>
    <w:rsid w:val="00BE5606"/>
    <w:rsid w:val="00BE6D16"/>
    <w:rsid w:val="00BE797C"/>
    <w:rsid w:val="00BF1A1D"/>
    <w:rsid w:val="00BF1BF9"/>
    <w:rsid w:val="00BF1F15"/>
    <w:rsid w:val="00BF3F89"/>
    <w:rsid w:val="00BF68CC"/>
    <w:rsid w:val="00C00298"/>
    <w:rsid w:val="00C0129E"/>
    <w:rsid w:val="00C04754"/>
    <w:rsid w:val="00C0747D"/>
    <w:rsid w:val="00C0783F"/>
    <w:rsid w:val="00C100A4"/>
    <w:rsid w:val="00C1213A"/>
    <w:rsid w:val="00C16428"/>
    <w:rsid w:val="00C20A10"/>
    <w:rsid w:val="00C20B79"/>
    <w:rsid w:val="00C20D2D"/>
    <w:rsid w:val="00C22188"/>
    <w:rsid w:val="00C231DD"/>
    <w:rsid w:val="00C23B74"/>
    <w:rsid w:val="00C24817"/>
    <w:rsid w:val="00C3034D"/>
    <w:rsid w:val="00C31BCD"/>
    <w:rsid w:val="00C34603"/>
    <w:rsid w:val="00C35EE8"/>
    <w:rsid w:val="00C367AC"/>
    <w:rsid w:val="00C404E2"/>
    <w:rsid w:val="00C4300E"/>
    <w:rsid w:val="00C44CA9"/>
    <w:rsid w:val="00C464D9"/>
    <w:rsid w:val="00C52631"/>
    <w:rsid w:val="00C53D79"/>
    <w:rsid w:val="00C540B1"/>
    <w:rsid w:val="00C57439"/>
    <w:rsid w:val="00C57A7F"/>
    <w:rsid w:val="00C62E7C"/>
    <w:rsid w:val="00C67398"/>
    <w:rsid w:val="00C7222A"/>
    <w:rsid w:val="00C73D0C"/>
    <w:rsid w:val="00C75F48"/>
    <w:rsid w:val="00C7739F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F27C4"/>
    <w:rsid w:val="00CF3F75"/>
    <w:rsid w:val="00CF4BE9"/>
    <w:rsid w:val="00CF5937"/>
    <w:rsid w:val="00D01194"/>
    <w:rsid w:val="00D01442"/>
    <w:rsid w:val="00D043A0"/>
    <w:rsid w:val="00D05AAC"/>
    <w:rsid w:val="00D1193B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5F69"/>
    <w:rsid w:val="00D46011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BCE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747B"/>
    <w:rsid w:val="00DE0F32"/>
    <w:rsid w:val="00DE3121"/>
    <w:rsid w:val="00DE5002"/>
    <w:rsid w:val="00DE665E"/>
    <w:rsid w:val="00DF0A86"/>
    <w:rsid w:val="00DF1254"/>
    <w:rsid w:val="00DF6B84"/>
    <w:rsid w:val="00E04B2C"/>
    <w:rsid w:val="00E06FA8"/>
    <w:rsid w:val="00E07555"/>
    <w:rsid w:val="00E136B2"/>
    <w:rsid w:val="00E14852"/>
    <w:rsid w:val="00E201F0"/>
    <w:rsid w:val="00E21D2A"/>
    <w:rsid w:val="00E21E90"/>
    <w:rsid w:val="00E24981"/>
    <w:rsid w:val="00E24C26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6621B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3BF0"/>
    <w:rsid w:val="00EB4D08"/>
    <w:rsid w:val="00EB5B53"/>
    <w:rsid w:val="00EB5EFC"/>
    <w:rsid w:val="00EB7915"/>
    <w:rsid w:val="00EC0608"/>
    <w:rsid w:val="00EC1DE7"/>
    <w:rsid w:val="00EC4E8B"/>
    <w:rsid w:val="00EC5F3B"/>
    <w:rsid w:val="00EC6768"/>
    <w:rsid w:val="00ED1B7E"/>
    <w:rsid w:val="00ED2ABC"/>
    <w:rsid w:val="00ED4E07"/>
    <w:rsid w:val="00EE02BD"/>
    <w:rsid w:val="00EE1BFB"/>
    <w:rsid w:val="00EE2F6A"/>
    <w:rsid w:val="00EE56F9"/>
    <w:rsid w:val="00EF4ED7"/>
    <w:rsid w:val="00F013C7"/>
    <w:rsid w:val="00F039FF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5750"/>
    <w:rsid w:val="00F31BF7"/>
    <w:rsid w:val="00F32A3B"/>
    <w:rsid w:val="00F371CA"/>
    <w:rsid w:val="00F371E2"/>
    <w:rsid w:val="00F40EE2"/>
    <w:rsid w:val="00F41EE3"/>
    <w:rsid w:val="00F46818"/>
    <w:rsid w:val="00F47ACE"/>
    <w:rsid w:val="00F54ADA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65D1"/>
    <w:rsid w:val="00FC37C0"/>
    <w:rsid w:val="00FC5249"/>
    <w:rsid w:val="00FC53B9"/>
    <w:rsid w:val="00FD010C"/>
    <w:rsid w:val="00FD5242"/>
    <w:rsid w:val="00FD5B69"/>
    <w:rsid w:val="00FD641A"/>
    <w:rsid w:val="00FD6A1D"/>
    <w:rsid w:val="00FE0D9E"/>
    <w:rsid w:val="00FE1FAE"/>
    <w:rsid w:val="00FE2981"/>
    <w:rsid w:val="00FF01A6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385BEF15-1CDE-40C6-AF35-CE332FE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AED2-D34A-464C-A77A-1723B9D1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1206</Characters>
  <Application>Microsoft Office Word</Application>
  <DocSecurity>0</DocSecurity>
  <Lines>10</Lines>
  <Paragraphs>2</Paragraphs>
  <ScaleCrop>false</ScaleCrop>
  <Company>應之軒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8</cp:revision>
  <cp:lastPrinted>2023-11-07T07:48:00Z</cp:lastPrinted>
  <dcterms:created xsi:type="dcterms:W3CDTF">2025-06-13T07:42:00Z</dcterms:created>
  <dcterms:modified xsi:type="dcterms:W3CDTF">2025-06-13T08:22:00Z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