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C26F" w14:textId="117FF5D2" w:rsidR="0090012A" w:rsidRDefault="00BF7D42" w:rsidP="000A4320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证券代码：6</w:t>
      </w:r>
      <w:r>
        <w:rPr>
          <w:rFonts w:ascii="宋体" w:hAnsi="宋体"/>
          <w:b/>
          <w:sz w:val="24"/>
        </w:rPr>
        <w:t xml:space="preserve">88262         </w:t>
      </w:r>
      <w:r>
        <w:rPr>
          <w:rFonts w:ascii="宋体" w:hAnsi="宋体" w:hint="eastAsia"/>
          <w:b/>
          <w:sz w:val="24"/>
        </w:rPr>
        <w:t>证券简称：</w:t>
      </w:r>
      <w:proofErr w:type="gramStart"/>
      <w:r>
        <w:rPr>
          <w:rFonts w:ascii="宋体" w:hAnsi="宋体" w:hint="eastAsia"/>
          <w:b/>
          <w:sz w:val="24"/>
        </w:rPr>
        <w:t>国芯科技</w:t>
      </w:r>
      <w:proofErr w:type="gramEnd"/>
      <w:r w:rsidR="004F7B3D">
        <w:rPr>
          <w:rFonts w:ascii="宋体" w:hAnsi="宋体"/>
          <w:b/>
          <w:sz w:val="24"/>
        </w:rPr>
        <w:t xml:space="preserve">      </w:t>
      </w:r>
      <w:bookmarkStart w:id="0" w:name="_GoBack"/>
      <w:r>
        <w:rPr>
          <w:rFonts w:ascii="宋体" w:hAnsi="宋体" w:hint="eastAsia"/>
          <w:b/>
          <w:sz w:val="24"/>
        </w:rPr>
        <w:t>公告编号：</w:t>
      </w:r>
      <w:r w:rsidR="00C847D8">
        <w:rPr>
          <w:rFonts w:ascii="宋体" w:hAnsi="宋体"/>
          <w:b/>
          <w:sz w:val="24"/>
        </w:rPr>
        <w:t>2026</w:t>
      </w:r>
      <w:r>
        <w:rPr>
          <w:rFonts w:ascii="宋体" w:hAnsi="宋体" w:hint="eastAsia"/>
          <w:b/>
          <w:sz w:val="24"/>
        </w:rPr>
        <w:t>-</w:t>
      </w:r>
      <w:r w:rsidR="00E66F90">
        <w:rPr>
          <w:rFonts w:ascii="宋体" w:hAnsi="宋体"/>
          <w:b/>
          <w:sz w:val="24"/>
        </w:rPr>
        <w:t>005</w:t>
      </w:r>
      <w:bookmarkEnd w:id="0"/>
    </w:p>
    <w:p w14:paraId="2F1AED66" w14:textId="7C2BBA26" w:rsidR="0090012A" w:rsidRDefault="00BF7D42" w:rsidP="000A4320">
      <w:pPr>
        <w:adjustRightInd w:val="0"/>
        <w:snapToGrid w:val="0"/>
        <w:spacing w:beforeLines="50" w:before="156" w:line="360" w:lineRule="auto"/>
        <w:jc w:val="center"/>
        <w:rPr>
          <w:rFonts w:ascii="华文中宋" w:eastAsia="华文中宋" w:hAnsi="华文中宋"/>
          <w:b/>
          <w:bCs/>
          <w:color w:val="FF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FF0000"/>
          <w:sz w:val="32"/>
          <w:szCs w:val="32"/>
        </w:rPr>
        <w:t>苏州国芯科技股份有限公司</w:t>
      </w:r>
    </w:p>
    <w:p w14:paraId="37122A10" w14:textId="34913745" w:rsidR="0090012A" w:rsidRDefault="00C847D8" w:rsidP="000A4320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bCs/>
          <w:color w:val="FF0000"/>
          <w:sz w:val="32"/>
          <w:szCs w:val="32"/>
        </w:rPr>
      </w:pPr>
      <w:bookmarkStart w:id="1" w:name="OLE_LINK1"/>
      <w:bookmarkStart w:id="2" w:name="OLE_LINK2"/>
      <w:r>
        <w:rPr>
          <w:rFonts w:ascii="华文中宋" w:eastAsia="华文中宋" w:hAnsi="华文中宋"/>
          <w:b/>
          <w:bCs/>
          <w:color w:val="FF0000"/>
          <w:sz w:val="32"/>
          <w:szCs w:val="32"/>
        </w:rPr>
        <w:t>2025</w:t>
      </w:r>
      <w:r w:rsidR="00BF7D42">
        <w:rPr>
          <w:rFonts w:ascii="华文中宋" w:eastAsia="华文中宋" w:hAnsi="华文中宋" w:hint="eastAsia"/>
          <w:b/>
          <w:bCs/>
          <w:color w:val="FF0000"/>
          <w:sz w:val="32"/>
          <w:szCs w:val="32"/>
        </w:rPr>
        <w:t>年年度业绩预</w:t>
      </w:r>
      <w:r w:rsidR="00BF7D42">
        <w:rPr>
          <w:rFonts w:ascii="华文中宋" w:eastAsia="华文中宋" w:hAnsi="华文中宋"/>
          <w:b/>
          <w:bCs/>
          <w:color w:val="FF0000"/>
          <w:sz w:val="32"/>
          <w:szCs w:val="32"/>
        </w:rPr>
        <w:t>告</w:t>
      </w:r>
    </w:p>
    <w:bookmarkEnd w:id="1"/>
    <w:bookmarkEnd w:id="2"/>
    <w:p w14:paraId="4EE470A4" w14:textId="77777777" w:rsidR="0090012A" w:rsidRDefault="00BF7D42" w:rsidP="00BF6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311FBED1" w14:textId="07E68F2B" w:rsidR="0090012A" w:rsidRPr="000A4320" w:rsidRDefault="00BF7D42" w:rsidP="000A4320">
      <w:pPr>
        <w:topLinePunct/>
        <w:adjustRightInd w:val="0"/>
        <w:snapToGrid w:val="0"/>
        <w:spacing w:beforeLines="50" w:before="156" w:line="360" w:lineRule="auto"/>
        <w:ind w:firstLineChars="200" w:firstLine="482"/>
        <w:rPr>
          <w:sz w:val="24"/>
        </w:rPr>
      </w:pPr>
      <w:r w:rsidRPr="000A4320">
        <w:rPr>
          <w:b/>
          <w:sz w:val="24"/>
        </w:rPr>
        <w:t>一、本期业绩预告情况</w:t>
      </w:r>
    </w:p>
    <w:p w14:paraId="29E81DD6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（一）业绩预告期间</w:t>
      </w:r>
    </w:p>
    <w:p w14:paraId="48CD6047" w14:textId="482A506D" w:rsidR="0090012A" w:rsidRPr="000A4320" w:rsidRDefault="00C847D8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2025</w:t>
      </w:r>
      <w:r w:rsidR="00BF7D42" w:rsidRPr="000A4320">
        <w:rPr>
          <w:sz w:val="24"/>
        </w:rPr>
        <w:t>年</w:t>
      </w:r>
      <w:r w:rsidR="00BF7D42" w:rsidRPr="000A4320">
        <w:rPr>
          <w:sz w:val="24"/>
        </w:rPr>
        <w:t>1</w:t>
      </w:r>
      <w:r w:rsidR="00BF7D42" w:rsidRPr="000A4320">
        <w:rPr>
          <w:sz w:val="24"/>
        </w:rPr>
        <w:t>月</w:t>
      </w:r>
      <w:r w:rsidR="00BF7D42" w:rsidRPr="000A4320">
        <w:rPr>
          <w:sz w:val="24"/>
        </w:rPr>
        <w:t>1</w:t>
      </w:r>
      <w:r w:rsidR="00BF7D42" w:rsidRPr="000A4320">
        <w:rPr>
          <w:sz w:val="24"/>
        </w:rPr>
        <w:t>日至</w:t>
      </w:r>
      <w:r w:rsidRPr="000A4320">
        <w:rPr>
          <w:sz w:val="24"/>
        </w:rPr>
        <w:t>2025</w:t>
      </w:r>
      <w:r w:rsidR="00BF7D42" w:rsidRPr="000A4320">
        <w:rPr>
          <w:sz w:val="24"/>
        </w:rPr>
        <w:t>年</w:t>
      </w:r>
      <w:r w:rsidR="00BF7D42" w:rsidRPr="000A4320">
        <w:rPr>
          <w:sz w:val="24"/>
        </w:rPr>
        <w:t>12</w:t>
      </w:r>
      <w:r w:rsidR="00BF7D42" w:rsidRPr="000A4320">
        <w:rPr>
          <w:sz w:val="24"/>
        </w:rPr>
        <w:t>月</w:t>
      </w:r>
      <w:r w:rsidR="00BF7D42" w:rsidRPr="000A4320">
        <w:rPr>
          <w:sz w:val="24"/>
        </w:rPr>
        <w:t>31</w:t>
      </w:r>
      <w:r w:rsidR="00BF7D42" w:rsidRPr="000A4320">
        <w:rPr>
          <w:sz w:val="24"/>
        </w:rPr>
        <w:t>日。</w:t>
      </w:r>
    </w:p>
    <w:p w14:paraId="09F34CDA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（二）业绩预告情况</w:t>
      </w:r>
    </w:p>
    <w:p w14:paraId="1C6549CE" w14:textId="28BE2C8F" w:rsidR="003A228A" w:rsidRPr="000A4320" w:rsidRDefault="003A228A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</w:t>
      </w:r>
      <w:r w:rsidRPr="000A4320">
        <w:rPr>
          <w:sz w:val="24"/>
        </w:rPr>
        <w:t>1</w:t>
      </w:r>
      <w:r w:rsidRPr="000A4320">
        <w:rPr>
          <w:sz w:val="24"/>
        </w:rPr>
        <w:t>）经</w:t>
      </w:r>
      <w:r w:rsidR="007F009A" w:rsidRPr="000A4320">
        <w:rPr>
          <w:sz w:val="24"/>
        </w:rPr>
        <w:t>苏州国芯科技股份有限公司（以下简称</w:t>
      </w:r>
      <w:r w:rsidR="007F009A" w:rsidRPr="000A4320">
        <w:rPr>
          <w:rFonts w:ascii="宋体" w:hAnsi="宋体"/>
          <w:sz w:val="24"/>
        </w:rPr>
        <w:t>“</w:t>
      </w:r>
      <w:r w:rsidR="007F009A" w:rsidRPr="000A4320">
        <w:rPr>
          <w:sz w:val="24"/>
        </w:rPr>
        <w:t>公司</w:t>
      </w:r>
      <w:r w:rsidR="007F009A" w:rsidRPr="000A4320">
        <w:rPr>
          <w:rFonts w:ascii="宋体" w:hAnsi="宋体"/>
          <w:sz w:val="24"/>
        </w:rPr>
        <w:t>”</w:t>
      </w:r>
      <w:r w:rsidR="007F009A" w:rsidRPr="000A4320">
        <w:rPr>
          <w:sz w:val="24"/>
        </w:rPr>
        <w:t>）</w:t>
      </w:r>
      <w:r w:rsidRPr="000A4320">
        <w:rPr>
          <w:sz w:val="24"/>
        </w:rPr>
        <w:t>财务部门初步测算，公司预计</w:t>
      </w:r>
      <w:r w:rsidR="00C847D8" w:rsidRPr="000A4320">
        <w:rPr>
          <w:sz w:val="24"/>
        </w:rPr>
        <w:t>2025</w:t>
      </w:r>
      <w:r w:rsidRPr="000A4320">
        <w:rPr>
          <w:sz w:val="24"/>
        </w:rPr>
        <w:t>年度实现营业收入</w:t>
      </w:r>
      <w:bookmarkStart w:id="3" w:name="_Hlk188390648"/>
      <w:r w:rsidR="00814009">
        <w:rPr>
          <w:rFonts w:hint="eastAsia"/>
          <w:sz w:val="24"/>
        </w:rPr>
        <w:t>5</w:t>
      </w:r>
      <w:r w:rsidR="00814009">
        <w:rPr>
          <w:sz w:val="24"/>
        </w:rPr>
        <w:t>3</w:t>
      </w:r>
      <w:r w:rsidR="00360419">
        <w:rPr>
          <w:rFonts w:hint="eastAsia"/>
          <w:sz w:val="24"/>
        </w:rPr>
        <w:t>,</w:t>
      </w:r>
      <w:r w:rsidR="00814009">
        <w:rPr>
          <w:sz w:val="24"/>
        </w:rPr>
        <w:t>168.37</w:t>
      </w:r>
      <w:bookmarkEnd w:id="3"/>
      <w:r w:rsidR="0002320C" w:rsidRPr="000A4320">
        <w:rPr>
          <w:sz w:val="24"/>
        </w:rPr>
        <w:t>万</w:t>
      </w:r>
      <w:r w:rsidRPr="000A4320">
        <w:rPr>
          <w:sz w:val="24"/>
        </w:rPr>
        <w:t>元，与</w:t>
      </w:r>
      <w:r w:rsidR="00C847D8" w:rsidRPr="000A4320">
        <w:rPr>
          <w:sz w:val="24"/>
        </w:rPr>
        <w:t>202</w:t>
      </w:r>
      <w:r w:rsidR="00783982" w:rsidRPr="000A4320">
        <w:rPr>
          <w:sz w:val="24"/>
        </w:rPr>
        <w:t>4</w:t>
      </w:r>
      <w:r w:rsidRPr="000A4320">
        <w:rPr>
          <w:sz w:val="24"/>
        </w:rPr>
        <w:t>年度</w:t>
      </w:r>
      <w:r w:rsidR="00415210" w:rsidRPr="000A4320">
        <w:rPr>
          <w:sz w:val="24"/>
        </w:rPr>
        <w:t>（法定披露数据）</w:t>
      </w:r>
      <w:r w:rsidRPr="000A4320">
        <w:rPr>
          <w:sz w:val="24"/>
        </w:rPr>
        <w:t>相比</w:t>
      </w:r>
      <w:r w:rsidR="00814009">
        <w:rPr>
          <w:rFonts w:hint="eastAsia"/>
          <w:sz w:val="24"/>
        </w:rPr>
        <w:t>减少</w:t>
      </w:r>
      <w:r w:rsidR="00814009">
        <w:rPr>
          <w:rFonts w:hint="eastAsia"/>
          <w:sz w:val="24"/>
        </w:rPr>
        <w:t>4</w:t>
      </w:r>
      <w:r w:rsidR="00360419">
        <w:rPr>
          <w:sz w:val="24"/>
        </w:rPr>
        <w:t>,</w:t>
      </w:r>
      <w:r w:rsidR="00814009">
        <w:rPr>
          <w:sz w:val="24"/>
        </w:rPr>
        <w:t>251.8</w:t>
      </w:r>
      <w:r w:rsidR="00E11FB2">
        <w:rPr>
          <w:rFonts w:hint="eastAsia"/>
          <w:sz w:val="24"/>
        </w:rPr>
        <w:t>2</w:t>
      </w:r>
      <w:r w:rsidR="00BE55BA" w:rsidRPr="000A4320">
        <w:rPr>
          <w:sz w:val="24"/>
        </w:rPr>
        <w:t>万</w:t>
      </w:r>
      <w:r w:rsidRPr="000A4320">
        <w:rPr>
          <w:sz w:val="24"/>
        </w:rPr>
        <w:t>元，同比</w:t>
      </w:r>
      <w:r w:rsidR="00814009">
        <w:rPr>
          <w:rFonts w:hint="eastAsia"/>
          <w:sz w:val="24"/>
        </w:rPr>
        <w:t>减少</w:t>
      </w:r>
      <w:r w:rsidR="00814009">
        <w:rPr>
          <w:rFonts w:hint="eastAsia"/>
          <w:sz w:val="24"/>
        </w:rPr>
        <w:t>7</w:t>
      </w:r>
      <w:r w:rsidR="00814009">
        <w:rPr>
          <w:sz w:val="24"/>
        </w:rPr>
        <w:t>.40</w:t>
      </w:r>
      <w:r w:rsidRPr="000A4320">
        <w:rPr>
          <w:sz w:val="24"/>
        </w:rPr>
        <w:t>%</w:t>
      </w:r>
      <w:r w:rsidR="000728E1">
        <w:rPr>
          <w:rFonts w:hint="eastAsia"/>
          <w:sz w:val="24"/>
        </w:rPr>
        <w:t>。</w:t>
      </w:r>
    </w:p>
    <w:p w14:paraId="65FA7359" w14:textId="22C020CD" w:rsidR="000D6242" w:rsidRPr="000A4320" w:rsidRDefault="00BF7D42" w:rsidP="000D6242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</w:t>
      </w:r>
      <w:r w:rsidR="003A228A" w:rsidRPr="000A4320">
        <w:rPr>
          <w:sz w:val="24"/>
        </w:rPr>
        <w:t>2</w:t>
      </w:r>
      <w:r w:rsidRPr="000A4320">
        <w:rPr>
          <w:sz w:val="24"/>
        </w:rPr>
        <w:t>）</w:t>
      </w:r>
      <w:r w:rsidR="000D6242" w:rsidRPr="000A4320">
        <w:rPr>
          <w:sz w:val="24"/>
        </w:rPr>
        <w:t>经财务部门初步测算，公司预计</w:t>
      </w:r>
      <w:r w:rsidR="000D6242" w:rsidRPr="000A4320">
        <w:rPr>
          <w:sz w:val="24"/>
        </w:rPr>
        <w:t>2025</w:t>
      </w:r>
      <w:r w:rsidR="000D6242" w:rsidRPr="000A4320">
        <w:rPr>
          <w:sz w:val="24"/>
        </w:rPr>
        <w:t>年年度实现归属于母公司所有者的净利润</w:t>
      </w:r>
      <w:r w:rsidR="000D6242">
        <w:rPr>
          <w:rFonts w:hint="eastAsia"/>
          <w:sz w:val="24"/>
        </w:rPr>
        <w:t>为</w:t>
      </w:r>
      <w:r w:rsidR="000D6242" w:rsidRPr="00BD1D83">
        <w:rPr>
          <w:rFonts w:hint="eastAsia"/>
          <w:sz w:val="24"/>
        </w:rPr>
        <w:t>-23,755.56</w:t>
      </w:r>
      <w:r w:rsidR="000D6242" w:rsidRPr="00BD1D83">
        <w:rPr>
          <w:rFonts w:hint="eastAsia"/>
          <w:sz w:val="24"/>
        </w:rPr>
        <w:t>万元</w:t>
      </w:r>
      <w:r w:rsidR="000D6242">
        <w:rPr>
          <w:sz w:val="24"/>
        </w:rPr>
        <w:t>，</w:t>
      </w:r>
      <w:r w:rsidR="000D6242" w:rsidRPr="000A4320">
        <w:rPr>
          <w:sz w:val="24"/>
        </w:rPr>
        <w:t>与上年同期（法定披露数据）相比，亏损增加</w:t>
      </w:r>
      <w:r w:rsidR="000D6242">
        <w:rPr>
          <w:rFonts w:hint="eastAsia"/>
          <w:sz w:val="24"/>
        </w:rPr>
        <w:t>5</w:t>
      </w:r>
      <w:r w:rsidR="000D6242">
        <w:rPr>
          <w:sz w:val="24"/>
        </w:rPr>
        <w:t>,696.56</w:t>
      </w:r>
      <w:r w:rsidR="000D6242" w:rsidRPr="000A4320">
        <w:rPr>
          <w:sz w:val="24"/>
        </w:rPr>
        <w:t>万元</w:t>
      </w:r>
      <w:r w:rsidR="000728E1">
        <w:rPr>
          <w:rFonts w:hint="eastAsia"/>
          <w:sz w:val="24"/>
        </w:rPr>
        <w:t>。</w:t>
      </w:r>
    </w:p>
    <w:p w14:paraId="5A4B038F" w14:textId="6CF2636C" w:rsidR="0090012A" w:rsidRPr="000A4320" w:rsidRDefault="00BF7D42" w:rsidP="000D6242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</w:t>
      </w:r>
      <w:r w:rsidR="003A228A" w:rsidRPr="000A4320">
        <w:rPr>
          <w:sz w:val="24"/>
        </w:rPr>
        <w:t>3</w:t>
      </w:r>
      <w:r w:rsidRPr="000A4320">
        <w:rPr>
          <w:sz w:val="24"/>
        </w:rPr>
        <w:t>）经财务部门初步测算，</w:t>
      </w:r>
      <w:r w:rsidR="003A228A" w:rsidRPr="000A4320">
        <w:rPr>
          <w:sz w:val="24"/>
        </w:rPr>
        <w:t>公司</w:t>
      </w:r>
      <w:r w:rsidRPr="000A4320">
        <w:rPr>
          <w:sz w:val="24"/>
        </w:rPr>
        <w:t>预计</w:t>
      </w:r>
      <w:r w:rsidR="00C847D8" w:rsidRPr="000A4320">
        <w:rPr>
          <w:sz w:val="24"/>
        </w:rPr>
        <w:t>2025</w:t>
      </w:r>
      <w:r w:rsidRPr="000A4320">
        <w:rPr>
          <w:sz w:val="24"/>
        </w:rPr>
        <w:t>年年度</w:t>
      </w:r>
      <w:r w:rsidR="003A228A" w:rsidRPr="000A4320">
        <w:rPr>
          <w:sz w:val="24"/>
        </w:rPr>
        <w:t>实现</w:t>
      </w:r>
      <w:r w:rsidRPr="000A4320">
        <w:rPr>
          <w:sz w:val="24"/>
        </w:rPr>
        <w:t>归属于母公司所有者</w:t>
      </w:r>
      <w:r w:rsidRPr="001F37A9">
        <w:rPr>
          <w:rFonts w:hint="eastAsia"/>
          <w:sz w:val="24"/>
        </w:rPr>
        <w:t>扣除非经常性损益后的净利润</w:t>
      </w:r>
      <w:r w:rsidR="00BD1D83">
        <w:rPr>
          <w:rFonts w:hint="eastAsia"/>
          <w:sz w:val="24"/>
        </w:rPr>
        <w:t>为</w:t>
      </w:r>
      <w:r w:rsidR="001F37A9" w:rsidRPr="001F37A9">
        <w:rPr>
          <w:sz w:val="24"/>
        </w:rPr>
        <w:t>-28</w:t>
      </w:r>
      <w:r w:rsidR="00360419">
        <w:rPr>
          <w:sz w:val="24"/>
        </w:rPr>
        <w:t>,</w:t>
      </w:r>
      <w:r w:rsidR="001F37A9" w:rsidRPr="001F37A9">
        <w:rPr>
          <w:sz w:val="24"/>
        </w:rPr>
        <w:t>1</w:t>
      </w:r>
      <w:r w:rsidR="006E2DE7">
        <w:rPr>
          <w:sz w:val="24"/>
        </w:rPr>
        <w:t>28</w:t>
      </w:r>
      <w:r w:rsidR="006E2DE7">
        <w:rPr>
          <w:rFonts w:hint="eastAsia"/>
          <w:sz w:val="24"/>
        </w:rPr>
        <w:t>.</w:t>
      </w:r>
      <w:r w:rsidR="006E2DE7">
        <w:rPr>
          <w:sz w:val="24"/>
        </w:rPr>
        <w:t>68</w:t>
      </w:r>
      <w:r w:rsidR="0002320C" w:rsidRPr="001F37A9">
        <w:rPr>
          <w:rFonts w:hint="eastAsia"/>
          <w:sz w:val="24"/>
        </w:rPr>
        <w:t>万</w:t>
      </w:r>
      <w:r w:rsidRPr="001F37A9">
        <w:rPr>
          <w:rFonts w:hint="eastAsia"/>
          <w:sz w:val="24"/>
        </w:rPr>
        <w:t>元</w:t>
      </w:r>
      <w:r w:rsidR="003A228A" w:rsidRPr="00C14B71">
        <w:rPr>
          <w:rFonts w:hint="eastAsia"/>
          <w:sz w:val="24"/>
        </w:rPr>
        <w:t>，与上年同期（法定披露数据）相比，</w:t>
      </w:r>
      <w:r w:rsidR="00F15223" w:rsidRPr="00C14B71">
        <w:rPr>
          <w:rFonts w:hint="eastAsia"/>
          <w:sz w:val="24"/>
        </w:rPr>
        <w:t>亏损增加</w:t>
      </w:r>
      <w:r w:rsidR="001F37A9" w:rsidRPr="00C14B71">
        <w:rPr>
          <w:sz w:val="24"/>
        </w:rPr>
        <w:t>5</w:t>
      </w:r>
      <w:r w:rsidR="00360419">
        <w:rPr>
          <w:sz w:val="24"/>
        </w:rPr>
        <w:t>,</w:t>
      </w:r>
      <w:r w:rsidR="001F37A9" w:rsidRPr="00C14B71">
        <w:rPr>
          <w:sz w:val="24"/>
        </w:rPr>
        <w:t>7</w:t>
      </w:r>
      <w:r w:rsidR="006E2DE7">
        <w:rPr>
          <w:sz w:val="24"/>
        </w:rPr>
        <w:t>27</w:t>
      </w:r>
      <w:r w:rsidR="006E2DE7">
        <w:rPr>
          <w:rFonts w:hint="eastAsia"/>
          <w:sz w:val="24"/>
        </w:rPr>
        <w:t>.</w:t>
      </w:r>
      <w:r w:rsidR="006E2DE7">
        <w:rPr>
          <w:sz w:val="24"/>
        </w:rPr>
        <w:t>50</w:t>
      </w:r>
      <w:r w:rsidR="0002320C" w:rsidRPr="00C14B71">
        <w:rPr>
          <w:rFonts w:hint="eastAsia"/>
          <w:sz w:val="24"/>
        </w:rPr>
        <w:t>万</w:t>
      </w:r>
      <w:r w:rsidR="00195E4C" w:rsidRPr="00C14B71">
        <w:rPr>
          <w:rFonts w:hint="eastAsia"/>
          <w:sz w:val="24"/>
        </w:rPr>
        <w:t>元</w:t>
      </w:r>
      <w:r w:rsidRPr="001F37A9">
        <w:rPr>
          <w:rFonts w:hint="eastAsia"/>
          <w:sz w:val="24"/>
        </w:rPr>
        <w:t>。</w:t>
      </w:r>
    </w:p>
    <w:p w14:paraId="0AD47259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（三）本次业绩预告未经注册会计师审计。</w:t>
      </w:r>
    </w:p>
    <w:p w14:paraId="1825F549" w14:textId="77777777" w:rsidR="00BF6F6C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0A4320">
        <w:rPr>
          <w:b/>
          <w:sz w:val="24"/>
        </w:rPr>
        <w:t>二、上年同期业绩情况</w:t>
      </w:r>
    </w:p>
    <w:p w14:paraId="5A702C44" w14:textId="76C5BC75" w:rsidR="00BF6F6C" w:rsidRPr="000A4320" w:rsidRDefault="00C847D8" w:rsidP="000A4320">
      <w:pPr>
        <w:topLinePunct/>
        <w:adjustRightInd w:val="0"/>
        <w:snapToGrid w:val="0"/>
        <w:spacing w:line="360" w:lineRule="auto"/>
        <w:ind w:firstLineChars="200" w:firstLine="480"/>
        <w:rPr>
          <w:bCs/>
          <w:sz w:val="24"/>
        </w:rPr>
      </w:pPr>
      <w:r w:rsidRPr="000A4320">
        <w:rPr>
          <w:bCs/>
          <w:sz w:val="24"/>
        </w:rPr>
        <w:t>202</w:t>
      </w:r>
      <w:r w:rsidR="00783982" w:rsidRPr="000A4320">
        <w:rPr>
          <w:bCs/>
          <w:sz w:val="24"/>
        </w:rPr>
        <w:t>4</w:t>
      </w:r>
      <w:r w:rsidR="00BF6F6C" w:rsidRPr="000A4320">
        <w:rPr>
          <w:bCs/>
          <w:sz w:val="24"/>
        </w:rPr>
        <w:t>年，公司实现营业收入</w:t>
      </w:r>
      <w:r w:rsidR="00783982" w:rsidRPr="000A4320">
        <w:rPr>
          <w:bCs/>
          <w:sz w:val="24"/>
        </w:rPr>
        <w:t>57,420.18</w:t>
      </w:r>
      <w:r w:rsidR="0002320C" w:rsidRPr="000A4320">
        <w:rPr>
          <w:bCs/>
          <w:sz w:val="24"/>
        </w:rPr>
        <w:t>万</w:t>
      </w:r>
      <w:r w:rsidR="00BF6F6C" w:rsidRPr="000A4320">
        <w:rPr>
          <w:bCs/>
          <w:sz w:val="24"/>
        </w:rPr>
        <w:t>元，利润总额为</w:t>
      </w:r>
      <w:r w:rsidR="00CF1F0B" w:rsidRPr="000A4320">
        <w:rPr>
          <w:bCs/>
          <w:sz w:val="24"/>
        </w:rPr>
        <w:t>-26,630.80</w:t>
      </w:r>
      <w:r w:rsidR="0002320C" w:rsidRPr="000A4320">
        <w:rPr>
          <w:bCs/>
          <w:sz w:val="24"/>
        </w:rPr>
        <w:t>万</w:t>
      </w:r>
      <w:r w:rsidR="00BF6F6C" w:rsidRPr="000A4320">
        <w:rPr>
          <w:bCs/>
          <w:sz w:val="24"/>
        </w:rPr>
        <w:t>元，归属于母公司所有者的净利润</w:t>
      </w:r>
      <w:r w:rsidR="00783982" w:rsidRPr="000A4320">
        <w:rPr>
          <w:bCs/>
          <w:sz w:val="24"/>
        </w:rPr>
        <w:t>-18,059.00</w:t>
      </w:r>
      <w:r w:rsidR="0002320C" w:rsidRPr="000A4320">
        <w:rPr>
          <w:bCs/>
          <w:sz w:val="24"/>
        </w:rPr>
        <w:t>万</w:t>
      </w:r>
      <w:r w:rsidR="00BF6F6C" w:rsidRPr="000A4320">
        <w:rPr>
          <w:bCs/>
          <w:sz w:val="24"/>
        </w:rPr>
        <w:t>元，归属于母公司所有者的扣除非经常性损益的净利润</w:t>
      </w:r>
      <w:r w:rsidR="00783982" w:rsidRPr="000A4320">
        <w:rPr>
          <w:bCs/>
          <w:sz w:val="24"/>
        </w:rPr>
        <w:t>-22</w:t>
      </w:r>
      <w:r w:rsidR="00CF1F0B" w:rsidRPr="000A4320">
        <w:rPr>
          <w:bCs/>
          <w:sz w:val="24"/>
        </w:rPr>
        <w:t>,</w:t>
      </w:r>
      <w:r w:rsidR="00783982" w:rsidRPr="000A4320">
        <w:rPr>
          <w:bCs/>
          <w:sz w:val="24"/>
        </w:rPr>
        <w:t>401.18</w:t>
      </w:r>
      <w:r w:rsidR="00BE55BA" w:rsidRPr="000A4320">
        <w:rPr>
          <w:bCs/>
          <w:sz w:val="24"/>
        </w:rPr>
        <w:t>万</w:t>
      </w:r>
      <w:r w:rsidR="00BF6F6C" w:rsidRPr="000A4320">
        <w:rPr>
          <w:bCs/>
          <w:sz w:val="24"/>
        </w:rPr>
        <w:t>元，每股收益为</w:t>
      </w:r>
      <w:r w:rsidR="00783982" w:rsidRPr="000A4320">
        <w:rPr>
          <w:bCs/>
          <w:sz w:val="24"/>
        </w:rPr>
        <w:t>-0.55</w:t>
      </w:r>
      <w:r w:rsidR="00BF6F6C" w:rsidRPr="000A4320">
        <w:rPr>
          <w:bCs/>
          <w:sz w:val="24"/>
        </w:rPr>
        <w:t>元</w:t>
      </w:r>
      <w:r w:rsidR="00BF6F6C" w:rsidRPr="000A4320">
        <w:rPr>
          <w:bCs/>
          <w:sz w:val="24"/>
        </w:rPr>
        <w:t>/</w:t>
      </w:r>
      <w:r w:rsidR="00BF6F6C" w:rsidRPr="000A4320">
        <w:rPr>
          <w:bCs/>
          <w:sz w:val="24"/>
        </w:rPr>
        <w:t>股。</w:t>
      </w:r>
    </w:p>
    <w:p w14:paraId="5A148AEB" w14:textId="6D40C32B" w:rsidR="0090012A" w:rsidRPr="000A4320" w:rsidRDefault="00BF6F6C" w:rsidP="000A4320">
      <w:pPr>
        <w:topLinePunct/>
        <w:adjustRightInd w:val="0"/>
        <w:snapToGrid w:val="0"/>
        <w:spacing w:line="360" w:lineRule="auto"/>
        <w:ind w:firstLineChars="200" w:firstLine="480"/>
        <w:rPr>
          <w:bCs/>
          <w:sz w:val="24"/>
        </w:rPr>
      </w:pPr>
      <w:r w:rsidRPr="000A4320">
        <w:rPr>
          <w:bCs/>
          <w:sz w:val="24"/>
        </w:rPr>
        <w:t>三、</w:t>
      </w:r>
      <w:r w:rsidR="00BF7D42" w:rsidRPr="000A4320">
        <w:rPr>
          <w:b/>
          <w:sz w:val="24"/>
        </w:rPr>
        <w:t>本期业绩变化的主要原因</w:t>
      </w:r>
    </w:p>
    <w:p w14:paraId="3CB8DF2D" w14:textId="2E876DB8" w:rsidR="00195E4C" w:rsidRPr="00C14B71" w:rsidRDefault="00195E4C" w:rsidP="000A4320">
      <w:pPr>
        <w:widowControl/>
        <w:shd w:val="clear" w:color="auto" w:fill="FFFFFF"/>
        <w:topLinePunct/>
        <w:spacing w:line="360" w:lineRule="auto"/>
        <w:ind w:firstLineChars="200" w:firstLine="482"/>
        <w:outlineLvl w:val="1"/>
        <w:rPr>
          <w:b/>
          <w:bCs/>
          <w:color w:val="323232"/>
          <w:kern w:val="0"/>
          <w:sz w:val="24"/>
        </w:rPr>
      </w:pPr>
      <w:r w:rsidRPr="00C14B71">
        <w:rPr>
          <w:b/>
          <w:bCs/>
          <w:color w:val="323232"/>
          <w:kern w:val="0"/>
          <w:sz w:val="24"/>
        </w:rPr>
        <w:t>（</w:t>
      </w:r>
      <w:r w:rsidRPr="00C14B71">
        <w:rPr>
          <w:rFonts w:hint="eastAsia"/>
          <w:b/>
          <w:bCs/>
          <w:color w:val="323232"/>
          <w:kern w:val="0"/>
          <w:sz w:val="24"/>
        </w:rPr>
        <w:t>一）主营业务影响</w:t>
      </w:r>
    </w:p>
    <w:p w14:paraId="063E4800" w14:textId="0344B207" w:rsidR="00C12903" w:rsidRPr="00C12903" w:rsidRDefault="00195E4C" w:rsidP="00C12903">
      <w:pPr>
        <w:widowControl/>
        <w:shd w:val="clear" w:color="auto" w:fill="FFFFFF"/>
        <w:topLinePunct/>
        <w:spacing w:line="360" w:lineRule="auto"/>
        <w:ind w:firstLineChars="200" w:firstLine="480"/>
        <w:outlineLvl w:val="1"/>
        <w:rPr>
          <w:sz w:val="24"/>
        </w:rPr>
      </w:pPr>
      <w:r w:rsidRPr="00C14B71">
        <w:rPr>
          <w:rFonts w:hint="eastAsia"/>
          <w:sz w:val="24"/>
        </w:rPr>
        <w:t>经财务部门初步测算，公司预计</w:t>
      </w:r>
      <w:r w:rsidR="00C847D8" w:rsidRPr="00C14B71">
        <w:rPr>
          <w:sz w:val="24"/>
        </w:rPr>
        <w:t>2025</w:t>
      </w:r>
      <w:r w:rsidRPr="00C14B71">
        <w:rPr>
          <w:rFonts w:hint="eastAsia"/>
          <w:sz w:val="24"/>
        </w:rPr>
        <w:t>年度实现营业收入</w:t>
      </w:r>
      <w:r w:rsidR="007F692F" w:rsidRPr="003F0812">
        <w:rPr>
          <w:sz w:val="24"/>
        </w:rPr>
        <w:t>53</w:t>
      </w:r>
      <w:r w:rsidR="00CA38FB">
        <w:rPr>
          <w:sz w:val="24"/>
        </w:rPr>
        <w:t>,</w:t>
      </w:r>
      <w:r w:rsidR="007F692F" w:rsidRPr="003F0812">
        <w:rPr>
          <w:sz w:val="24"/>
        </w:rPr>
        <w:t>168.37</w:t>
      </w:r>
      <w:r w:rsidR="0002320C" w:rsidRPr="00C14B71">
        <w:rPr>
          <w:rFonts w:hint="eastAsia"/>
          <w:sz w:val="24"/>
        </w:rPr>
        <w:t>万</w:t>
      </w:r>
      <w:r w:rsidRPr="00C14B71">
        <w:rPr>
          <w:rFonts w:hint="eastAsia"/>
          <w:sz w:val="24"/>
        </w:rPr>
        <w:t>元，与</w:t>
      </w:r>
      <w:r w:rsidR="00C847D8" w:rsidRPr="00C14B71">
        <w:rPr>
          <w:sz w:val="24"/>
        </w:rPr>
        <w:t>2024</w:t>
      </w:r>
      <w:r w:rsidRPr="00C14B71">
        <w:rPr>
          <w:rFonts w:hint="eastAsia"/>
          <w:sz w:val="24"/>
        </w:rPr>
        <w:t>年度相比</w:t>
      </w:r>
      <w:r w:rsidR="007F692F" w:rsidRPr="003F0812">
        <w:rPr>
          <w:rFonts w:hint="eastAsia"/>
          <w:sz w:val="24"/>
        </w:rPr>
        <w:t>减少</w:t>
      </w:r>
      <w:r w:rsidR="007F692F" w:rsidRPr="003F0812">
        <w:rPr>
          <w:sz w:val="24"/>
        </w:rPr>
        <w:t>4</w:t>
      </w:r>
      <w:r w:rsidR="00BC0C10">
        <w:rPr>
          <w:sz w:val="24"/>
        </w:rPr>
        <w:t>,</w:t>
      </w:r>
      <w:r w:rsidR="007F692F" w:rsidRPr="003F0812">
        <w:rPr>
          <w:sz w:val="24"/>
        </w:rPr>
        <w:t>251.8</w:t>
      </w:r>
      <w:r w:rsidR="00E11FB2">
        <w:rPr>
          <w:rFonts w:hint="eastAsia"/>
          <w:sz w:val="24"/>
        </w:rPr>
        <w:t>2</w:t>
      </w:r>
      <w:r w:rsidR="00BE55BA" w:rsidRPr="00C14B71">
        <w:rPr>
          <w:rFonts w:hint="eastAsia"/>
          <w:sz w:val="24"/>
        </w:rPr>
        <w:t>万</w:t>
      </w:r>
      <w:r w:rsidRPr="00C14B71">
        <w:rPr>
          <w:rFonts w:hint="eastAsia"/>
          <w:sz w:val="24"/>
        </w:rPr>
        <w:t>元，</w:t>
      </w:r>
      <w:r w:rsidR="007F692F" w:rsidRPr="003F0812">
        <w:rPr>
          <w:rFonts w:hint="eastAsia"/>
          <w:sz w:val="24"/>
        </w:rPr>
        <w:t>同比减少</w:t>
      </w:r>
      <w:r w:rsidR="007F692F" w:rsidRPr="003F0812">
        <w:rPr>
          <w:sz w:val="24"/>
        </w:rPr>
        <w:t>7.40%</w:t>
      </w:r>
      <w:r w:rsidR="00856B22" w:rsidRPr="00C14B71">
        <w:rPr>
          <w:rFonts w:hint="eastAsia"/>
          <w:sz w:val="24"/>
        </w:rPr>
        <w:t>，</w:t>
      </w:r>
      <w:r w:rsidR="001344E9" w:rsidRPr="001344E9">
        <w:rPr>
          <w:rFonts w:hint="eastAsia"/>
          <w:sz w:val="24"/>
        </w:rPr>
        <w:t>由于收入减少，毛利相应减少</w:t>
      </w:r>
      <w:r w:rsidR="001344E9" w:rsidRPr="001344E9">
        <w:rPr>
          <w:rFonts w:hint="eastAsia"/>
          <w:sz w:val="24"/>
        </w:rPr>
        <w:t>2,017.18</w:t>
      </w:r>
      <w:r w:rsidR="001344E9" w:rsidRPr="001344E9">
        <w:rPr>
          <w:rFonts w:hint="eastAsia"/>
          <w:sz w:val="24"/>
        </w:rPr>
        <w:t>万元，同比减少</w:t>
      </w:r>
      <w:r w:rsidR="001344E9" w:rsidRPr="001344E9">
        <w:rPr>
          <w:rFonts w:hint="eastAsia"/>
          <w:sz w:val="24"/>
        </w:rPr>
        <w:t>14.52%</w:t>
      </w:r>
      <w:r w:rsidR="00FF7DAC">
        <w:rPr>
          <w:rFonts w:hint="eastAsia"/>
          <w:sz w:val="24"/>
        </w:rPr>
        <w:t>。</w:t>
      </w:r>
      <w:r w:rsidR="00856B22" w:rsidRPr="00C14B71">
        <w:rPr>
          <w:rFonts w:hint="eastAsia"/>
          <w:sz w:val="24"/>
        </w:rPr>
        <w:t>主要</w:t>
      </w:r>
      <w:r w:rsidR="00BE55BA" w:rsidRPr="00C14B71">
        <w:rPr>
          <w:rFonts w:hint="eastAsia"/>
          <w:sz w:val="24"/>
        </w:rPr>
        <w:t>原因</w:t>
      </w:r>
      <w:r w:rsidR="00856B22" w:rsidRPr="00C14B71">
        <w:rPr>
          <w:rFonts w:hint="eastAsia"/>
          <w:sz w:val="24"/>
        </w:rPr>
        <w:t>是</w:t>
      </w:r>
      <w:r w:rsidR="00C847D8" w:rsidRPr="00C14B71">
        <w:rPr>
          <w:sz w:val="24"/>
        </w:rPr>
        <w:t>2025</w:t>
      </w:r>
      <w:r w:rsidR="00856B22" w:rsidRPr="00C14B71">
        <w:rPr>
          <w:rFonts w:hint="eastAsia"/>
          <w:sz w:val="24"/>
        </w:rPr>
        <w:t>年</w:t>
      </w:r>
      <w:r w:rsidR="006D15D9">
        <w:rPr>
          <w:rFonts w:hint="eastAsia"/>
          <w:sz w:val="24"/>
        </w:rPr>
        <w:t>1</w:t>
      </w:r>
      <w:r w:rsidR="006D15D9">
        <w:rPr>
          <w:sz w:val="24"/>
        </w:rPr>
        <w:t>-8</w:t>
      </w:r>
      <w:r w:rsidR="006D15D9">
        <w:rPr>
          <w:sz w:val="24"/>
        </w:rPr>
        <w:t>月</w:t>
      </w:r>
      <w:r w:rsidR="00856B22" w:rsidRPr="00C14B71">
        <w:rPr>
          <w:rFonts w:hint="eastAsia"/>
          <w:sz w:val="24"/>
        </w:rPr>
        <w:t>公司</w:t>
      </w:r>
      <w:r w:rsidR="00877BE5" w:rsidRPr="00C14B71">
        <w:rPr>
          <w:rFonts w:hint="eastAsia"/>
          <w:sz w:val="24"/>
        </w:rPr>
        <w:t>定制</w:t>
      </w:r>
      <w:r w:rsidR="00F73AEB" w:rsidRPr="003F0812">
        <w:rPr>
          <w:rFonts w:hint="eastAsia"/>
          <w:sz w:val="24"/>
        </w:rPr>
        <w:t>量产</w:t>
      </w:r>
      <w:r w:rsidR="00877BE5" w:rsidRPr="00C14B71">
        <w:rPr>
          <w:rFonts w:hint="eastAsia"/>
          <w:sz w:val="24"/>
        </w:rPr>
        <w:t>芯</w:t>
      </w:r>
      <w:r w:rsidR="00877BE5" w:rsidRPr="00C14B71">
        <w:rPr>
          <w:rFonts w:hint="eastAsia"/>
          <w:sz w:val="24"/>
        </w:rPr>
        <w:lastRenderedPageBreak/>
        <w:t>片业务受外部因素变化的影响</w:t>
      </w:r>
      <w:r w:rsidR="00D902FA">
        <w:rPr>
          <w:rFonts w:hint="eastAsia"/>
          <w:sz w:val="24"/>
        </w:rPr>
        <w:t>，</w:t>
      </w:r>
      <w:r w:rsidR="00877BE5" w:rsidRPr="00C14B71">
        <w:rPr>
          <w:rFonts w:hint="eastAsia"/>
          <w:sz w:val="24"/>
        </w:rPr>
        <w:t>生产周期加长</w:t>
      </w:r>
      <w:r w:rsidR="006D15D9">
        <w:rPr>
          <w:rFonts w:hint="eastAsia"/>
          <w:sz w:val="24"/>
        </w:rPr>
        <w:t>造成</w:t>
      </w:r>
      <w:r w:rsidR="00877BE5" w:rsidRPr="00C14B71">
        <w:rPr>
          <w:rFonts w:hint="eastAsia"/>
          <w:sz w:val="24"/>
        </w:rPr>
        <w:t>客户交付</w:t>
      </w:r>
      <w:r w:rsidR="00BC700C">
        <w:rPr>
          <w:rFonts w:hint="eastAsia"/>
          <w:sz w:val="24"/>
        </w:rPr>
        <w:t>推迟和延后</w:t>
      </w:r>
      <w:r w:rsidR="00877BE5" w:rsidRPr="00C14B71">
        <w:rPr>
          <w:rFonts w:hint="eastAsia"/>
          <w:sz w:val="24"/>
        </w:rPr>
        <w:t>，引起</w:t>
      </w:r>
      <w:r w:rsidR="00877BE5" w:rsidRPr="003F0812">
        <w:rPr>
          <w:rFonts w:hint="eastAsia"/>
          <w:sz w:val="24"/>
        </w:rPr>
        <w:t>全年度</w:t>
      </w:r>
      <w:r w:rsidR="0064561F">
        <w:rPr>
          <w:rFonts w:hint="eastAsia"/>
          <w:sz w:val="24"/>
        </w:rPr>
        <w:t>定制芯片</w:t>
      </w:r>
      <w:r w:rsidR="00D902FA">
        <w:rPr>
          <w:rFonts w:hint="eastAsia"/>
          <w:sz w:val="24"/>
        </w:rPr>
        <w:t>业务</w:t>
      </w:r>
      <w:r w:rsidR="00877BE5" w:rsidRPr="00C14B71">
        <w:rPr>
          <w:rFonts w:hint="eastAsia"/>
          <w:sz w:val="24"/>
        </w:rPr>
        <w:t>收入下滑</w:t>
      </w:r>
      <w:r w:rsidR="0064561F">
        <w:rPr>
          <w:sz w:val="24"/>
        </w:rPr>
        <w:t>。</w:t>
      </w:r>
      <w:r w:rsidR="00221C6D">
        <w:rPr>
          <w:rFonts w:hint="eastAsia"/>
          <w:sz w:val="24"/>
        </w:rPr>
        <w:t>2</w:t>
      </w:r>
      <w:r w:rsidR="00221C6D">
        <w:rPr>
          <w:sz w:val="24"/>
        </w:rPr>
        <w:t>025</w:t>
      </w:r>
      <w:r w:rsidR="00221C6D">
        <w:rPr>
          <w:sz w:val="24"/>
        </w:rPr>
        <w:t>年，</w:t>
      </w:r>
      <w:r w:rsidR="00C12903" w:rsidRPr="00C12903">
        <w:rPr>
          <w:rFonts w:hint="eastAsia"/>
          <w:sz w:val="24"/>
        </w:rPr>
        <w:t>按产品的应用领域来分，包括自主芯片和</w:t>
      </w:r>
      <w:proofErr w:type="gramStart"/>
      <w:r w:rsidR="00C12903" w:rsidRPr="00C12903">
        <w:rPr>
          <w:rFonts w:hint="eastAsia"/>
          <w:sz w:val="24"/>
        </w:rPr>
        <w:t>模组</w:t>
      </w:r>
      <w:proofErr w:type="gramEnd"/>
      <w:r w:rsidR="00C12903" w:rsidRPr="00C12903">
        <w:rPr>
          <w:rFonts w:hint="eastAsia"/>
          <w:sz w:val="24"/>
        </w:rPr>
        <w:t>、定制芯片服务和</w:t>
      </w:r>
      <w:r w:rsidR="00C12903" w:rsidRPr="00C12903">
        <w:rPr>
          <w:sz w:val="24"/>
        </w:rPr>
        <w:t>IP</w:t>
      </w:r>
      <w:r w:rsidR="00C12903" w:rsidRPr="00C12903">
        <w:rPr>
          <w:sz w:val="24"/>
        </w:rPr>
        <w:t>授权在内，</w:t>
      </w:r>
      <w:proofErr w:type="gramStart"/>
      <w:r w:rsidR="00C12903" w:rsidRPr="00C12903">
        <w:rPr>
          <w:sz w:val="24"/>
        </w:rPr>
        <w:t>公司信创和</w:t>
      </w:r>
      <w:proofErr w:type="gramEnd"/>
      <w:r w:rsidR="00C12903" w:rsidRPr="00C12903">
        <w:rPr>
          <w:sz w:val="24"/>
        </w:rPr>
        <w:t>信息安全业务收入</w:t>
      </w:r>
      <w:r w:rsidR="00C12903" w:rsidRPr="00C12903">
        <w:rPr>
          <w:sz w:val="24"/>
        </w:rPr>
        <w:t>19,539.36</w:t>
      </w:r>
      <w:r w:rsidR="00C12903" w:rsidRPr="00C12903">
        <w:rPr>
          <w:sz w:val="24"/>
        </w:rPr>
        <w:t>万元，同比</w:t>
      </w:r>
      <w:r w:rsidR="00C12903" w:rsidRPr="00C12903">
        <w:rPr>
          <w:rFonts w:hint="eastAsia"/>
          <w:sz w:val="24"/>
        </w:rPr>
        <w:t>增长</w:t>
      </w:r>
      <w:r w:rsidR="00C12903" w:rsidRPr="00C12903">
        <w:rPr>
          <w:sz w:val="24"/>
        </w:rPr>
        <w:t>39</w:t>
      </w:r>
      <w:r w:rsidR="00C12903" w:rsidRPr="00C12903">
        <w:rPr>
          <w:rFonts w:hint="eastAsia"/>
          <w:sz w:val="24"/>
        </w:rPr>
        <w:t>.</w:t>
      </w:r>
      <w:r w:rsidR="00C12903" w:rsidRPr="00C12903">
        <w:rPr>
          <w:sz w:val="24"/>
        </w:rPr>
        <w:t>38%</w:t>
      </w:r>
      <w:r w:rsidR="00C12903" w:rsidRPr="00C12903">
        <w:rPr>
          <w:sz w:val="24"/>
        </w:rPr>
        <w:t>；汽车电子</w:t>
      </w:r>
      <w:r w:rsidR="00C12903" w:rsidRPr="00C12903">
        <w:rPr>
          <w:rFonts w:hint="eastAsia"/>
          <w:sz w:val="24"/>
        </w:rPr>
        <w:t>芯片</w:t>
      </w:r>
      <w:r w:rsidR="00C12903">
        <w:rPr>
          <w:rFonts w:hint="eastAsia"/>
          <w:sz w:val="24"/>
        </w:rPr>
        <w:t>和工业控制芯片</w:t>
      </w:r>
      <w:r w:rsidR="00C12903" w:rsidRPr="00C12903">
        <w:rPr>
          <w:sz w:val="24"/>
        </w:rPr>
        <w:t>业务收入</w:t>
      </w:r>
      <w:r w:rsidR="000D6242">
        <w:rPr>
          <w:rFonts w:hint="eastAsia"/>
          <w:sz w:val="24"/>
        </w:rPr>
        <w:t>1</w:t>
      </w:r>
      <w:r w:rsidR="000D6242">
        <w:rPr>
          <w:sz w:val="24"/>
        </w:rPr>
        <w:t>6</w:t>
      </w:r>
      <w:r w:rsidR="000D6242">
        <w:rPr>
          <w:rFonts w:hint="eastAsia"/>
          <w:sz w:val="24"/>
        </w:rPr>
        <w:t>,</w:t>
      </w:r>
      <w:r w:rsidR="000D6242">
        <w:rPr>
          <w:sz w:val="24"/>
        </w:rPr>
        <w:t>678</w:t>
      </w:r>
      <w:r w:rsidR="000D6242">
        <w:rPr>
          <w:rFonts w:hint="eastAsia"/>
          <w:sz w:val="24"/>
        </w:rPr>
        <w:t>.</w:t>
      </w:r>
      <w:r w:rsidR="000D6242">
        <w:rPr>
          <w:sz w:val="24"/>
        </w:rPr>
        <w:t>82</w:t>
      </w:r>
      <w:r w:rsidR="00C12903" w:rsidRPr="00C12903">
        <w:rPr>
          <w:sz w:val="24"/>
        </w:rPr>
        <w:t>万元，同比增长</w:t>
      </w:r>
      <w:r w:rsidR="000D6242">
        <w:rPr>
          <w:rFonts w:hint="eastAsia"/>
          <w:sz w:val="24"/>
        </w:rPr>
        <w:t>7</w:t>
      </w:r>
      <w:r w:rsidR="000D6242">
        <w:rPr>
          <w:sz w:val="24"/>
        </w:rPr>
        <w:t>8.65</w:t>
      </w:r>
      <w:r w:rsidR="00C12903" w:rsidRPr="00C12903">
        <w:rPr>
          <w:sz w:val="24"/>
        </w:rPr>
        <w:t>%</w:t>
      </w:r>
      <w:r w:rsidR="00C12903">
        <w:rPr>
          <w:rFonts w:hint="eastAsia"/>
          <w:sz w:val="24"/>
        </w:rPr>
        <w:t>，</w:t>
      </w:r>
      <w:r w:rsidR="00C12903">
        <w:rPr>
          <w:sz w:val="24"/>
        </w:rPr>
        <w:t>其中</w:t>
      </w:r>
      <w:r w:rsidR="00C12903">
        <w:rPr>
          <w:rFonts w:hint="eastAsia"/>
          <w:sz w:val="24"/>
        </w:rPr>
        <w:t>2</w:t>
      </w:r>
      <w:r w:rsidR="00C12903">
        <w:rPr>
          <w:sz w:val="24"/>
        </w:rPr>
        <w:t>025</w:t>
      </w:r>
      <w:r w:rsidR="00C12903">
        <w:rPr>
          <w:sz w:val="24"/>
        </w:rPr>
        <w:t>年</w:t>
      </w:r>
      <w:r w:rsidR="00C12903" w:rsidRPr="00C12903">
        <w:rPr>
          <w:rFonts w:hint="eastAsia"/>
          <w:sz w:val="24"/>
        </w:rPr>
        <w:t>公司汽车电子芯片</w:t>
      </w:r>
      <w:r w:rsidR="00C12903">
        <w:rPr>
          <w:rFonts w:hint="eastAsia"/>
          <w:sz w:val="24"/>
        </w:rPr>
        <w:t>业务</w:t>
      </w:r>
      <w:r w:rsidR="00C12903" w:rsidRPr="00C12903">
        <w:rPr>
          <w:rFonts w:hint="eastAsia"/>
          <w:sz w:val="24"/>
        </w:rPr>
        <w:t>市场进展明显，预计</w:t>
      </w:r>
      <w:r w:rsidR="00C12903" w:rsidRPr="00C12903">
        <w:rPr>
          <w:rFonts w:hint="eastAsia"/>
          <w:sz w:val="24"/>
        </w:rPr>
        <w:t>2025</w:t>
      </w:r>
      <w:r w:rsidR="00C12903" w:rsidRPr="00C12903">
        <w:rPr>
          <w:rFonts w:hint="eastAsia"/>
          <w:sz w:val="24"/>
        </w:rPr>
        <w:t>年汽车电子芯片出货量超过</w:t>
      </w:r>
      <w:r w:rsidR="00C12903" w:rsidRPr="00C12903">
        <w:rPr>
          <w:rFonts w:hint="eastAsia"/>
          <w:sz w:val="24"/>
        </w:rPr>
        <w:t>1300</w:t>
      </w:r>
      <w:r w:rsidR="00C12903" w:rsidRPr="00C12903">
        <w:rPr>
          <w:rFonts w:hint="eastAsia"/>
          <w:sz w:val="24"/>
        </w:rPr>
        <w:t>万颗，截至</w:t>
      </w:r>
      <w:r w:rsidR="00C12903" w:rsidRPr="00C12903">
        <w:rPr>
          <w:rFonts w:hint="eastAsia"/>
          <w:sz w:val="24"/>
        </w:rPr>
        <w:t>2025</w:t>
      </w:r>
      <w:r w:rsidR="00C12903" w:rsidRPr="00C12903">
        <w:rPr>
          <w:rFonts w:hint="eastAsia"/>
          <w:sz w:val="24"/>
        </w:rPr>
        <w:t>年</w:t>
      </w:r>
      <w:r w:rsidR="00C12903" w:rsidRPr="00C12903">
        <w:rPr>
          <w:rFonts w:hint="eastAsia"/>
          <w:sz w:val="24"/>
        </w:rPr>
        <w:t>12</w:t>
      </w:r>
      <w:r w:rsidR="00C12903" w:rsidRPr="00C12903">
        <w:rPr>
          <w:rFonts w:hint="eastAsia"/>
          <w:sz w:val="24"/>
        </w:rPr>
        <w:t>月</w:t>
      </w:r>
      <w:r w:rsidR="00C12903" w:rsidRPr="00C12903">
        <w:rPr>
          <w:rFonts w:hint="eastAsia"/>
          <w:sz w:val="24"/>
        </w:rPr>
        <w:t>31</w:t>
      </w:r>
      <w:r w:rsidR="00C12903" w:rsidRPr="00C12903">
        <w:rPr>
          <w:rFonts w:hint="eastAsia"/>
          <w:sz w:val="24"/>
        </w:rPr>
        <w:t>日累计汽车电子芯片出货量超过</w:t>
      </w:r>
      <w:r w:rsidR="00C12903" w:rsidRPr="00C12903">
        <w:rPr>
          <w:rFonts w:hint="eastAsia"/>
          <w:sz w:val="24"/>
        </w:rPr>
        <w:t>2500</w:t>
      </w:r>
      <w:r w:rsidR="00C12903" w:rsidRPr="00C12903">
        <w:rPr>
          <w:rFonts w:hint="eastAsia"/>
          <w:sz w:val="24"/>
        </w:rPr>
        <w:t>万颗，预计实现</w:t>
      </w:r>
      <w:r w:rsidR="00792B6E">
        <w:rPr>
          <w:rFonts w:hint="eastAsia"/>
          <w:sz w:val="24"/>
        </w:rPr>
        <w:t>自主</w:t>
      </w:r>
      <w:r w:rsidR="00C12903" w:rsidRPr="00C12903">
        <w:rPr>
          <w:rFonts w:hint="eastAsia"/>
          <w:sz w:val="24"/>
        </w:rPr>
        <w:t>汽车电子芯片业务收入达</w:t>
      </w:r>
      <w:r w:rsidR="00C12903" w:rsidRPr="00C12903">
        <w:rPr>
          <w:rFonts w:hint="eastAsia"/>
          <w:sz w:val="24"/>
        </w:rPr>
        <w:t>12,650.</w:t>
      </w:r>
      <w:r w:rsidR="000D6242">
        <w:rPr>
          <w:sz w:val="24"/>
        </w:rPr>
        <w:t>20</w:t>
      </w:r>
      <w:r w:rsidR="00C12903" w:rsidRPr="00C12903">
        <w:rPr>
          <w:rFonts w:hint="eastAsia"/>
          <w:sz w:val="24"/>
        </w:rPr>
        <w:t>万元，同比增</w:t>
      </w:r>
      <w:r w:rsidR="000D6242">
        <w:rPr>
          <w:rFonts w:hint="eastAsia"/>
          <w:sz w:val="24"/>
        </w:rPr>
        <w:t>长</w:t>
      </w:r>
      <w:r w:rsidR="00C12903" w:rsidRPr="00C12903">
        <w:rPr>
          <w:rFonts w:hint="eastAsia"/>
          <w:sz w:val="24"/>
        </w:rPr>
        <w:t>82.32%</w:t>
      </w:r>
      <w:r w:rsidR="00C12903" w:rsidRPr="00C12903">
        <w:rPr>
          <w:sz w:val="24"/>
        </w:rPr>
        <w:t>；人工智能和先进计算业务收入</w:t>
      </w:r>
      <w:r w:rsidR="000D6242">
        <w:rPr>
          <w:rFonts w:hint="eastAsia"/>
          <w:sz w:val="24"/>
        </w:rPr>
        <w:t>1</w:t>
      </w:r>
      <w:r w:rsidR="000D6242">
        <w:rPr>
          <w:sz w:val="24"/>
        </w:rPr>
        <w:t>6</w:t>
      </w:r>
      <w:r w:rsidR="000D6242">
        <w:rPr>
          <w:rFonts w:hint="eastAsia"/>
          <w:sz w:val="24"/>
        </w:rPr>
        <w:t>,</w:t>
      </w:r>
      <w:r w:rsidR="000D6242">
        <w:rPr>
          <w:sz w:val="24"/>
        </w:rPr>
        <w:t>950</w:t>
      </w:r>
      <w:r w:rsidR="000D6242">
        <w:rPr>
          <w:rFonts w:hint="eastAsia"/>
          <w:sz w:val="24"/>
        </w:rPr>
        <w:t>.</w:t>
      </w:r>
      <w:r w:rsidR="001344E9">
        <w:rPr>
          <w:sz w:val="24"/>
        </w:rPr>
        <w:t>18</w:t>
      </w:r>
      <w:r w:rsidR="00C12903" w:rsidRPr="00C12903">
        <w:rPr>
          <w:sz w:val="24"/>
        </w:rPr>
        <w:t>万元，主要来自于定制芯片服务业务</w:t>
      </w:r>
      <w:r w:rsidR="001344E9">
        <w:rPr>
          <w:sz w:val="24"/>
        </w:rPr>
        <w:t>，</w:t>
      </w:r>
      <w:r w:rsidR="00C12903" w:rsidRPr="00C12903">
        <w:rPr>
          <w:rFonts w:hint="eastAsia"/>
          <w:sz w:val="24"/>
        </w:rPr>
        <w:t>同比减少</w:t>
      </w:r>
      <w:r w:rsidR="000D6242">
        <w:rPr>
          <w:rFonts w:hint="eastAsia"/>
          <w:sz w:val="24"/>
        </w:rPr>
        <w:t>5</w:t>
      </w:r>
      <w:r w:rsidR="000D6242">
        <w:rPr>
          <w:sz w:val="24"/>
        </w:rPr>
        <w:t>0.24</w:t>
      </w:r>
      <w:r w:rsidR="00C12903" w:rsidRPr="00C12903">
        <w:rPr>
          <w:sz w:val="24"/>
        </w:rPr>
        <w:t>%</w:t>
      </w:r>
      <w:r w:rsidR="004E4871">
        <w:rPr>
          <w:sz w:val="24"/>
        </w:rPr>
        <w:t>，主要是由于</w:t>
      </w:r>
      <w:r w:rsidR="004E4871">
        <w:rPr>
          <w:rFonts w:hint="eastAsia"/>
          <w:sz w:val="24"/>
        </w:rPr>
        <w:t>2</w:t>
      </w:r>
      <w:r w:rsidR="004E4871">
        <w:rPr>
          <w:sz w:val="24"/>
        </w:rPr>
        <w:t>025</w:t>
      </w:r>
      <w:r w:rsidR="004E4871">
        <w:rPr>
          <w:sz w:val="24"/>
        </w:rPr>
        <w:t>年</w:t>
      </w:r>
      <w:r w:rsidR="004E4871">
        <w:rPr>
          <w:rFonts w:hint="eastAsia"/>
          <w:sz w:val="24"/>
        </w:rPr>
        <w:t>1</w:t>
      </w:r>
      <w:r w:rsidR="004E4871">
        <w:rPr>
          <w:sz w:val="24"/>
        </w:rPr>
        <w:t>-8</w:t>
      </w:r>
      <w:r w:rsidR="004E4871">
        <w:rPr>
          <w:sz w:val="24"/>
        </w:rPr>
        <w:t>月定制芯片</w:t>
      </w:r>
      <w:proofErr w:type="gramStart"/>
      <w:r w:rsidR="004E4871">
        <w:rPr>
          <w:sz w:val="24"/>
        </w:rPr>
        <w:t>供应链</w:t>
      </w:r>
      <w:r w:rsidR="004E4871">
        <w:rPr>
          <w:rFonts w:hint="eastAsia"/>
          <w:sz w:val="24"/>
        </w:rPr>
        <w:t>受外部</w:t>
      </w:r>
      <w:proofErr w:type="gramEnd"/>
      <w:r w:rsidR="004E4871">
        <w:rPr>
          <w:rFonts w:hint="eastAsia"/>
          <w:sz w:val="24"/>
        </w:rPr>
        <w:t>因素影响</w:t>
      </w:r>
      <w:r w:rsidR="004E4871">
        <w:rPr>
          <w:sz w:val="24"/>
        </w:rPr>
        <w:t>导致人工智能和先进计算领域的客户交付推迟和延后，但该项业务的供应链已于</w:t>
      </w:r>
      <w:r w:rsidR="004E4871">
        <w:rPr>
          <w:rFonts w:hint="eastAsia"/>
          <w:sz w:val="24"/>
        </w:rPr>
        <w:t>2</w:t>
      </w:r>
      <w:r w:rsidR="004E4871">
        <w:rPr>
          <w:sz w:val="24"/>
        </w:rPr>
        <w:t>025</w:t>
      </w:r>
      <w:r w:rsidR="004E4871">
        <w:rPr>
          <w:sz w:val="24"/>
        </w:rPr>
        <w:t>年</w:t>
      </w:r>
      <w:r w:rsidR="004E4871">
        <w:rPr>
          <w:rFonts w:hint="eastAsia"/>
          <w:sz w:val="24"/>
        </w:rPr>
        <w:t>8</w:t>
      </w:r>
      <w:r w:rsidR="004E4871">
        <w:rPr>
          <w:rFonts w:hint="eastAsia"/>
          <w:sz w:val="24"/>
        </w:rPr>
        <w:t>月底恢复</w:t>
      </w:r>
      <w:r w:rsidR="00C14B71">
        <w:rPr>
          <w:rFonts w:hint="eastAsia"/>
          <w:sz w:val="24"/>
        </w:rPr>
        <w:t>至</w:t>
      </w:r>
      <w:r w:rsidR="004E4871">
        <w:rPr>
          <w:rFonts w:hint="eastAsia"/>
          <w:sz w:val="24"/>
        </w:rPr>
        <w:t>正常状态，该项业务正在</w:t>
      </w:r>
      <w:r w:rsidR="00400C7F">
        <w:rPr>
          <w:rFonts w:hint="eastAsia"/>
          <w:sz w:val="24"/>
        </w:rPr>
        <w:t>积极</w:t>
      </w:r>
      <w:r w:rsidR="004E4871">
        <w:rPr>
          <w:rFonts w:hint="eastAsia"/>
          <w:sz w:val="24"/>
        </w:rPr>
        <w:t>开展中</w:t>
      </w:r>
      <w:r w:rsidR="00C12903" w:rsidRPr="00C12903">
        <w:rPr>
          <w:sz w:val="24"/>
        </w:rPr>
        <w:t>。</w:t>
      </w:r>
    </w:p>
    <w:p w14:paraId="5EEA051A" w14:textId="1F81A7CC" w:rsidR="006B2CE4" w:rsidRPr="00C14B71" w:rsidRDefault="006B2CE4" w:rsidP="000A4320">
      <w:pPr>
        <w:widowControl/>
        <w:shd w:val="clear" w:color="auto" w:fill="FFFFFF"/>
        <w:topLinePunct/>
        <w:spacing w:line="360" w:lineRule="auto"/>
        <w:ind w:firstLineChars="200" w:firstLine="482"/>
        <w:outlineLvl w:val="1"/>
        <w:rPr>
          <w:b/>
          <w:sz w:val="24"/>
        </w:rPr>
      </w:pPr>
      <w:r w:rsidRPr="00C14B71">
        <w:rPr>
          <w:rFonts w:hint="eastAsia"/>
          <w:b/>
          <w:sz w:val="24"/>
        </w:rPr>
        <w:t>（二）研发费用的影响</w:t>
      </w:r>
    </w:p>
    <w:p w14:paraId="46278896" w14:textId="11DA3253" w:rsidR="006B2CE4" w:rsidRPr="000A4320" w:rsidRDefault="006B2CE4" w:rsidP="000A4320">
      <w:pPr>
        <w:widowControl/>
        <w:shd w:val="clear" w:color="auto" w:fill="FFFFFF"/>
        <w:topLinePunct/>
        <w:spacing w:line="360" w:lineRule="auto"/>
        <w:ind w:firstLineChars="200" w:firstLine="480"/>
        <w:outlineLvl w:val="1"/>
        <w:rPr>
          <w:b/>
          <w:bCs/>
          <w:color w:val="323232"/>
          <w:kern w:val="0"/>
          <w:sz w:val="24"/>
          <w:highlight w:val="yellow"/>
        </w:rPr>
      </w:pPr>
      <w:r w:rsidRPr="0056495C">
        <w:rPr>
          <w:rFonts w:hint="eastAsia"/>
          <w:color w:val="000000" w:themeColor="text1"/>
          <w:kern w:val="0"/>
          <w:sz w:val="24"/>
        </w:rPr>
        <w:t>报告期内，</w:t>
      </w:r>
      <w:r w:rsidRPr="0056495C">
        <w:rPr>
          <w:color w:val="000000" w:themeColor="text1"/>
          <w:kern w:val="0"/>
          <w:sz w:val="24"/>
        </w:rPr>
        <w:t>预计</w:t>
      </w:r>
      <w:r w:rsidRPr="0056495C">
        <w:rPr>
          <w:color w:val="000000" w:themeColor="text1"/>
          <w:kern w:val="0"/>
          <w:sz w:val="24"/>
        </w:rPr>
        <w:t>2025</w:t>
      </w:r>
      <w:r w:rsidRPr="0056495C">
        <w:rPr>
          <w:color w:val="000000" w:themeColor="text1"/>
          <w:kern w:val="0"/>
          <w:sz w:val="24"/>
        </w:rPr>
        <w:t>年度</w:t>
      </w:r>
      <w:r>
        <w:rPr>
          <w:rFonts w:hint="eastAsia"/>
          <w:color w:val="000000" w:themeColor="text1"/>
          <w:kern w:val="0"/>
          <w:sz w:val="24"/>
        </w:rPr>
        <w:t>研发</w:t>
      </w:r>
      <w:r w:rsidRPr="0056495C">
        <w:rPr>
          <w:color w:val="000000" w:themeColor="text1"/>
          <w:kern w:val="0"/>
          <w:sz w:val="24"/>
        </w:rPr>
        <w:t>费用比上年同期增加</w:t>
      </w:r>
      <w:r w:rsidRPr="0056495C">
        <w:rPr>
          <w:color w:val="000000" w:themeColor="text1"/>
          <w:kern w:val="0"/>
          <w:sz w:val="24"/>
        </w:rPr>
        <w:t>1</w:t>
      </w:r>
      <w:r w:rsidR="00360419">
        <w:rPr>
          <w:color w:val="000000" w:themeColor="text1"/>
          <w:kern w:val="0"/>
          <w:sz w:val="24"/>
        </w:rPr>
        <w:t>,</w:t>
      </w:r>
      <w:r w:rsidRPr="0056495C">
        <w:rPr>
          <w:color w:val="000000" w:themeColor="text1"/>
          <w:kern w:val="0"/>
          <w:sz w:val="24"/>
        </w:rPr>
        <w:t>3</w:t>
      </w:r>
      <w:r>
        <w:rPr>
          <w:color w:val="000000" w:themeColor="text1"/>
          <w:kern w:val="0"/>
          <w:sz w:val="24"/>
        </w:rPr>
        <w:t>6</w:t>
      </w:r>
      <w:r w:rsidR="006E2DE7">
        <w:rPr>
          <w:color w:val="000000" w:themeColor="text1"/>
          <w:kern w:val="0"/>
          <w:sz w:val="24"/>
        </w:rPr>
        <w:t>2</w:t>
      </w:r>
      <w:r w:rsidR="006E2DE7">
        <w:rPr>
          <w:rFonts w:hint="eastAsia"/>
          <w:color w:val="000000" w:themeColor="text1"/>
          <w:kern w:val="0"/>
          <w:sz w:val="24"/>
        </w:rPr>
        <w:t>.</w:t>
      </w:r>
      <w:r>
        <w:rPr>
          <w:color w:val="000000" w:themeColor="text1"/>
          <w:kern w:val="0"/>
          <w:sz w:val="24"/>
        </w:rPr>
        <w:t>5</w:t>
      </w:r>
      <w:r w:rsidR="006E2DE7">
        <w:rPr>
          <w:color w:val="000000" w:themeColor="text1"/>
          <w:kern w:val="0"/>
          <w:sz w:val="24"/>
        </w:rPr>
        <w:t>8</w:t>
      </w:r>
      <w:r w:rsidRPr="0056495C">
        <w:rPr>
          <w:color w:val="000000" w:themeColor="text1"/>
          <w:kern w:val="0"/>
          <w:sz w:val="24"/>
        </w:rPr>
        <w:t>万元，同比增长</w:t>
      </w:r>
      <w:r>
        <w:rPr>
          <w:color w:val="000000" w:themeColor="text1"/>
          <w:kern w:val="0"/>
          <w:sz w:val="24"/>
        </w:rPr>
        <w:t>4</w:t>
      </w:r>
      <w:r>
        <w:rPr>
          <w:rFonts w:hint="eastAsia"/>
          <w:color w:val="000000" w:themeColor="text1"/>
          <w:kern w:val="0"/>
          <w:sz w:val="24"/>
        </w:rPr>
        <w:t>.</w:t>
      </w:r>
      <w:r>
        <w:rPr>
          <w:color w:val="000000" w:themeColor="text1"/>
          <w:kern w:val="0"/>
          <w:sz w:val="24"/>
        </w:rPr>
        <w:t>22</w:t>
      </w:r>
      <w:r w:rsidRPr="0056495C">
        <w:rPr>
          <w:color w:val="000000" w:themeColor="text1"/>
          <w:kern w:val="0"/>
          <w:sz w:val="24"/>
        </w:rPr>
        <w:t>%</w:t>
      </w:r>
      <w:r w:rsidRPr="0056495C">
        <w:rPr>
          <w:color w:val="000000" w:themeColor="text1"/>
          <w:kern w:val="0"/>
          <w:sz w:val="24"/>
        </w:rPr>
        <w:t>。</w:t>
      </w:r>
      <w:r w:rsidRPr="0056495C">
        <w:rPr>
          <w:rFonts w:hint="eastAsia"/>
          <w:color w:val="000000" w:themeColor="text1"/>
          <w:kern w:val="0"/>
          <w:sz w:val="24"/>
        </w:rPr>
        <w:t>主要是</w:t>
      </w:r>
      <w:r w:rsidRPr="0056495C">
        <w:rPr>
          <w:color w:val="000000" w:themeColor="text1"/>
          <w:kern w:val="0"/>
          <w:sz w:val="24"/>
        </w:rPr>
        <w:t>公司</w:t>
      </w:r>
      <w:r w:rsidR="00063CED">
        <w:rPr>
          <w:rFonts w:hint="eastAsia"/>
          <w:color w:val="000000" w:themeColor="text1"/>
          <w:kern w:val="0"/>
          <w:sz w:val="24"/>
        </w:rPr>
        <w:t>实行</w:t>
      </w:r>
      <w:r w:rsidR="00FA3D4A">
        <w:rPr>
          <w:rFonts w:hint="eastAsia"/>
          <w:color w:val="000000" w:themeColor="text1"/>
          <w:kern w:val="0"/>
          <w:sz w:val="24"/>
        </w:rPr>
        <w:t>限制性</w:t>
      </w:r>
      <w:r w:rsidR="00063CED">
        <w:rPr>
          <w:rFonts w:hint="eastAsia"/>
          <w:color w:val="000000" w:themeColor="text1"/>
          <w:kern w:val="0"/>
          <w:sz w:val="24"/>
        </w:rPr>
        <w:t>股票激励</w:t>
      </w:r>
      <w:r w:rsidR="00FA3D4A">
        <w:rPr>
          <w:rFonts w:hint="eastAsia"/>
          <w:color w:val="000000" w:themeColor="text1"/>
          <w:kern w:val="0"/>
          <w:sz w:val="24"/>
        </w:rPr>
        <w:t>计划导致</w:t>
      </w:r>
      <w:r w:rsidRPr="0056495C">
        <w:rPr>
          <w:rFonts w:hint="eastAsia"/>
          <w:color w:val="000000" w:themeColor="text1"/>
          <w:kern w:val="0"/>
          <w:sz w:val="24"/>
        </w:rPr>
        <w:t>股份支付</w:t>
      </w:r>
      <w:r>
        <w:rPr>
          <w:rFonts w:hint="eastAsia"/>
          <w:color w:val="000000" w:themeColor="text1"/>
          <w:kern w:val="0"/>
          <w:sz w:val="24"/>
        </w:rPr>
        <w:t>费用</w:t>
      </w:r>
      <w:r w:rsidRPr="0056495C">
        <w:rPr>
          <w:rFonts w:hint="eastAsia"/>
          <w:color w:val="000000" w:themeColor="text1"/>
          <w:kern w:val="0"/>
          <w:sz w:val="24"/>
        </w:rPr>
        <w:t>的增加</w:t>
      </w:r>
      <w:r>
        <w:rPr>
          <w:rFonts w:hint="eastAsia"/>
          <w:color w:val="000000" w:themeColor="text1"/>
          <w:kern w:val="0"/>
          <w:sz w:val="24"/>
        </w:rPr>
        <w:t>。</w:t>
      </w:r>
    </w:p>
    <w:p w14:paraId="5CED35B5" w14:textId="795500EE" w:rsidR="001E64F5" w:rsidRPr="00C14B71" w:rsidRDefault="00856B22" w:rsidP="000A4320">
      <w:pPr>
        <w:widowControl/>
        <w:shd w:val="clear" w:color="auto" w:fill="FFFFFF"/>
        <w:topLinePunct/>
        <w:spacing w:line="360" w:lineRule="auto"/>
        <w:ind w:firstLineChars="200" w:firstLine="482"/>
        <w:outlineLvl w:val="1"/>
        <w:rPr>
          <w:b/>
          <w:bCs/>
          <w:color w:val="323232"/>
          <w:kern w:val="0"/>
          <w:sz w:val="24"/>
        </w:rPr>
      </w:pPr>
      <w:r w:rsidRPr="00C14B71">
        <w:rPr>
          <w:rFonts w:hint="eastAsia"/>
          <w:b/>
          <w:bCs/>
          <w:color w:val="323232"/>
          <w:kern w:val="0"/>
          <w:sz w:val="24"/>
        </w:rPr>
        <w:t>（</w:t>
      </w:r>
      <w:r w:rsidR="006B2CE4" w:rsidRPr="00C14B71">
        <w:rPr>
          <w:rFonts w:hint="eastAsia"/>
          <w:b/>
          <w:bCs/>
          <w:color w:val="323232"/>
          <w:kern w:val="0"/>
          <w:sz w:val="24"/>
        </w:rPr>
        <w:t>三</w:t>
      </w:r>
      <w:r w:rsidRPr="00C14B71">
        <w:rPr>
          <w:rFonts w:hint="eastAsia"/>
          <w:b/>
          <w:bCs/>
          <w:color w:val="323232"/>
          <w:kern w:val="0"/>
          <w:sz w:val="24"/>
        </w:rPr>
        <w:t>）</w:t>
      </w:r>
      <w:r w:rsidR="007F692F" w:rsidRPr="00C14B71">
        <w:rPr>
          <w:rFonts w:hint="eastAsia"/>
          <w:b/>
          <w:bCs/>
          <w:color w:val="323232"/>
          <w:kern w:val="0"/>
          <w:sz w:val="24"/>
        </w:rPr>
        <w:t>管理</w:t>
      </w:r>
      <w:r w:rsidR="001E64F5" w:rsidRPr="00C14B71">
        <w:rPr>
          <w:rFonts w:hint="eastAsia"/>
          <w:b/>
          <w:bCs/>
          <w:color w:val="323232"/>
          <w:kern w:val="0"/>
          <w:sz w:val="24"/>
        </w:rPr>
        <w:t>费用的影响</w:t>
      </w:r>
    </w:p>
    <w:p w14:paraId="133237F9" w14:textId="48BA9BEE" w:rsidR="001E64F5" w:rsidRPr="00C14B71" w:rsidRDefault="00E83C34" w:rsidP="000A4320">
      <w:pPr>
        <w:widowControl/>
        <w:shd w:val="clear" w:color="auto" w:fill="FFFFFF"/>
        <w:topLinePunct/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C14B71">
        <w:rPr>
          <w:rFonts w:hint="eastAsia"/>
          <w:color w:val="000000" w:themeColor="text1"/>
          <w:kern w:val="0"/>
          <w:sz w:val="24"/>
        </w:rPr>
        <w:t>报告期内，</w:t>
      </w:r>
      <w:r w:rsidR="00856B22" w:rsidRPr="00C14B71">
        <w:rPr>
          <w:rFonts w:hint="eastAsia"/>
          <w:color w:val="000000" w:themeColor="text1"/>
          <w:kern w:val="0"/>
          <w:sz w:val="24"/>
        </w:rPr>
        <w:t>预计</w:t>
      </w:r>
      <w:r w:rsidR="00C847D8" w:rsidRPr="00C14B71">
        <w:rPr>
          <w:color w:val="000000" w:themeColor="text1"/>
          <w:kern w:val="0"/>
          <w:sz w:val="24"/>
        </w:rPr>
        <w:t>2025</w:t>
      </w:r>
      <w:r w:rsidR="00856B22" w:rsidRPr="00C14B71">
        <w:rPr>
          <w:rFonts w:hint="eastAsia"/>
          <w:color w:val="000000" w:themeColor="text1"/>
          <w:kern w:val="0"/>
          <w:sz w:val="24"/>
        </w:rPr>
        <w:t>年度</w:t>
      </w:r>
      <w:r w:rsidR="007F692F" w:rsidRPr="00C14B71">
        <w:rPr>
          <w:rFonts w:hint="eastAsia"/>
          <w:color w:val="000000" w:themeColor="text1"/>
          <w:kern w:val="0"/>
          <w:sz w:val="24"/>
        </w:rPr>
        <w:t>管理</w:t>
      </w:r>
      <w:r w:rsidR="00A37EF7" w:rsidRPr="00C14B71">
        <w:rPr>
          <w:rFonts w:hint="eastAsia"/>
          <w:color w:val="000000" w:themeColor="text1"/>
          <w:kern w:val="0"/>
          <w:sz w:val="24"/>
        </w:rPr>
        <w:t>费用</w:t>
      </w:r>
      <w:r w:rsidR="00856B22" w:rsidRPr="00C14B71">
        <w:rPr>
          <w:rFonts w:hint="eastAsia"/>
          <w:color w:val="000000" w:themeColor="text1"/>
          <w:kern w:val="0"/>
          <w:sz w:val="24"/>
        </w:rPr>
        <w:t>比上年同期增加</w:t>
      </w:r>
      <w:r w:rsidR="007F692F" w:rsidRPr="00C14B71">
        <w:rPr>
          <w:color w:val="000000" w:themeColor="text1"/>
          <w:kern w:val="0"/>
          <w:sz w:val="24"/>
        </w:rPr>
        <w:t>1</w:t>
      </w:r>
      <w:r w:rsidR="00360419" w:rsidRPr="003F0812">
        <w:rPr>
          <w:color w:val="000000" w:themeColor="text1"/>
          <w:kern w:val="0"/>
          <w:sz w:val="24"/>
        </w:rPr>
        <w:t>,</w:t>
      </w:r>
      <w:r w:rsidR="007F692F" w:rsidRPr="00C14B71">
        <w:rPr>
          <w:color w:val="000000" w:themeColor="text1"/>
          <w:kern w:val="0"/>
          <w:sz w:val="24"/>
        </w:rPr>
        <w:t>3</w:t>
      </w:r>
      <w:r w:rsidR="006E2DE7">
        <w:rPr>
          <w:color w:val="000000" w:themeColor="text1"/>
          <w:kern w:val="0"/>
          <w:sz w:val="24"/>
        </w:rPr>
        <w:t>30</w:t>
      </w:r>
      <w:r w:rsidR="006E2DE7">
        <w:rPr>
          <w:rFonts w:hint="eastAsia"/>
          <w:color w:val="000000" w:themeColor="text1"/>
          <w:kern w:val="0"/>
          <w:sz w:val="24"/>
        </w:rPr>
        <w:t>.</w:t>
      </w:r>
      <w:r w:rsidR="006E2DE7">
        <w:rPr>
          <w:color w:val="000000" w:themeColor="text1"/>
          <w:kern w:val="0"/>
          <w:sz w:val="24"/>
        </w:rPr>
        <w:t>17</w:t>
      </w:r>
      <w:r w:rsidR="00BE55BA" w:rsidRPr="00C14B71">
        <w:rPr>
          <w:rFonts w:hint="eastAsia"/>
          <w:color w:val="000000" w:themeColor="text1"/>
          <w:kern w:val="0"/>
          <w:sz w:val="24"/>
        </w:rPr>
        <w:t>万</w:t>
      </w:r>
      <w:r w:rsidR="00952F60" w:rsidRPr="00C14B71">
        <w:rPr>
          <w:rFonts w:hint="eastAsia"/>
          <w:color w:val="000000" w:themeColor="text1"/>
          <w:kern w:val="0"/>
          <w:sz w:val="24"/>
        </w:rPr>
        <w:t>元，</w:t>
      </w:r>
      <w:r w:rsidR="00373498" w:rsidRPr="00C14B71">
        <w:rPr>
          <w:rFonts w:hint="eastAsia"/>
          <w:color w:val="000000" w:themeColor="text1"/>
          <w:kern w:val="0"/>
          <w:sz w:val="24"/>
        </w:rPr>
        <w:t>同比增长</w:t>
      </w:r>
      <w:r w:rsidR="007F692F" w:rsidRPr="00C14B71">
        <w:rPr>
          <w:color w:val="000000" w:themeColor="text1"/>
          <w:kern w:val="0"/>
          <w:sz w:val="24"/>
        </w:rPr>
        <w:t>26.8</w:t>
      </w:r>
      <w:r w:rsidR="006E2DE7">
        <w:rPr>
          <w:color w:val="000000" w:themeColor="text1"/>
          <w:kern w:val="0"/>
          <w:sz w:val="24"/>
        </w:rPr>
        <w:t>7</w:t>
      </w:r>
      <w:r w:rsidR="00373498" w:rsidRPr="00C14B71">
        <w:rPr>
          <w:color w:val="000000" w:themeColor="text1"/>
          <w:kern w:val="0"/>
          <w:sz w:val="24"/>
        </w:rPr>
        <w:t>%</w:t>
      </w:r>
      <w:r w:rsidR="00A37EF7" w:rsidRPr="00C14B71">
        <w:rPr>
          <w:rFonts w:hint="eastAsia"/>
          <w:color w:val="000000" w:themeColor="text1"/>
          <w:kern w:val="0"/>
          <w:sz w:val="24"/>
        </w:rPr>
        <w:t>。</w:t>
      </w:r>
      <w:r w:rsidRPr="003F0812">
        <w:rPr>
          <w:rFonts w:hint="eastAsia"/>
          <w:color w:val="000000" w:themeColor="text1"/>
          <w:kern w:val="0"/>
          <w:sz w:val="24"/>
        </w:rPr>
        <w:t>主要是</w:t>
      </w:r>
      <w:r w:rsidRPr="00C14B71">
        <w:rPr>
          <w:rFonts w:hint="eastAsia"/>
          <w:color w:val="000000" w:themeColor="text1"/>
          <w:kern w:val="0"/>
          <w:sz w:val="24"/>
        </w:rPr>
        <w:t>公司自有</w:t>
      </w:r>
      <w:r w:rsidR="006B2CE4" w:rsidRPr="00C14B71">
        <w:rPr>
          <w:rFonts w:hint="eastAsia"/>
          <w:color w:val="000000" w:themeColor="text1"/>
          <w:kern w:val="0"/>
          <w:sz w:val="24"/>
        </w:rPr>
        <w:t>研发</w:t>
      </w:r>
      <w:r w:rsidRPr="00C14B71">
        <w:rPr>
          <w:rFonts w:hint="eastAsia"/>
          <w:color w:val="000000" w:themeColor="text1"/>
          <w:kern w:val="0"/>
          <w:sz w:val="24"/>
        </w:rPr>
        <w:t>大楼折旧费用</w:t>
      </w:r>
      <w:r w:rsidR="006B2CE4" w:rsidRPr="00C14B71">
        <w:rPr>
          <w:rFonts w:hint="eastAsia"/>
          <w:color w:val="000000" w:themeColor="text1"/>
          <w:kern w:val="0"/>
          <w:sz w:val="24"/>
        </w:rPr>
        <w:t>与</w:t>
      </w:r>
      <w:r w:rsidR="00432B66">
        <w:rPr>
          <w:rFonts w:hint="eastAsia"/>
          <w:color w:val="000000" w:themeColor="text1"/>
          <w:kern w:val="0"/>
          <w:sz w:val="24"/>
        </w:rPr>
        <w:t>实行</w:t>
      </w:r>
      <w:r w:rsidR="00FA3D4A">
        <w:rPr>
          <w:rFonts w:hint="eastAsia"/>
          <w:color w:val="000000" w:themeColor="text1"/>
          <w:kern w:val="0"/>
          <w:sz w:val="24"/>
        </w:rPr>
        <w:t>限制性</w:t>
      </w:r>
      <w:r w:rsidR="00432B66">
        <w:rPr>
          <w:rFonts w:hint="eastAsia"/>
          <w:color w:val="000000" w:themeColor="text1"/>
          <w:kern w:val="0"/>
          <w:sz w:val="24"/>
        </w:rPr>
        <w:t>股票激励</w:t>
      </w:r>
      <w:r w:rsidR="000728E1">
        <w:rPr>
          <w:rFonts w:hint="eastAsia"/>
          <w:color w:val="000000" w:themeColor="text1"/>
          <w:kern w:val="0"/>
          <w:sz w:val="24"/>
        </w:rPr>
        <w:t>计划</w:t>
      </w:r>
      <w:r w:rsidR="00FA3D4A">
        <w:rPr>
          <w:rFonts w:hint="eastAsia"/>
          <w:color w:val="000000" w:themeColor="text1"/>
          <w:kern w:val="0"/>
          <w:sz w:val="24"/>
        </w:rPr>
        <w:t>导致</w:t>
      </w:r>
      <w:r w:rsidR="00432B66" w:rsidRPr="0056495C">
        <w:rPr>
          <w:rFonts w:hint="eastAsia"/>
          <w:color w:val="000000" w:themeColor="text1"/>
          <w:kern w:val="0"/>
          <w:sz w:val="24"/>
        </w:rPr>
        <w:t>股份支付</w:t>
      </w:r>
      <w:r w:rsidR="00432B66">
        <w:rPr>
          <w:rFonts w:hint="eastAsia"/>
          <w:color w:val="000000" w:themeColor="text1"/>
          <w:kern w:val="0"/>
          <w:sz w:val="24"/>
        </w:rPr>
        <w:t>费用</w:t>
      </w:r>
      <w:r w:rsidR="006B2CE4" w:rsidRPr="00C14B71">
        <w:rPr>
          <w:rFonts w:hint="eastAsia"/>
          <w:color w:val="000000" w:themeColor="text1"/>
          <w:kern w:val="0"/>
          <w:sz w:val="24"/>
        </w:rPr>
        <w:t>的增加</w:t>
      </w:r>
      <w:r w:rsidRPr="00C14B71">
        <w:rPr>
          <w:rFonts w:hint="eastAsia"/>
          <w:color w:val="000000" w:themeColor="text1"/>
          <w:kern w:val="0"/>
          <w:sz w:val="24"/>
        </w:rPr>
        <w:t>。</w:t>
      </w:r>
    </w:p>
    <w:p w14:paraId="6BD1B15F" w14:textId="0B2E0527" w:rsidR="001E64F5" w:rsidRPr="00C14B71" w:rsidRDefault="00952F60" w:rsidP="000A4320">
      <w:pPr>
        <w:widowControl/>
        <w:shd w:val="clear" w:color="auto" w:fill="FFFFFF"/>
        <w:topLinePunct/>
        <w:spacing w:line="360" w:lineRule="auto"/>
        <w:ind w:firstLineChars="200" w:firstLine="482"/>
        <w:outlineLvl w:val="1"/>
        <w:rPr>
          <w:b/>
          <w:bCs/>
          <w:color w:val="000000" w:themeColor="text1"/>
          <w:kern w:val="0"/>
          <w:sz w:val="24"/>
        </w:rPr>
      </w:pPr>
      <w:r w:rsidRPr="00C14B71">
        <w:rPr>
          <w:rFonts w:hint="eastAsia"/>
          <w:b/>
          <w:bCs/>
          <w:color w:val="000000" w:themeColor="text1"/>
          <w:kern w:val="0"/>
          <w:sz w:val="24"/>
        </w:rPr>
        <w:t>（</w:t>
      </w:r>
      <w:r w:rsidR="006B2CE4" w:rsidRPr="00C14B71">
        <w:rPr>
          <w:rFonts w:hint="eastAsia"/>
          <w:b/>
          <w:bCs/>
          <w:color w:val="000000" w:themeColor="text1"/>
          <w:kern w:val="0"/>
          <w:sz w:val="24"/>
        </w:rPr>
        <w:t>四</w:t>
      </w:r>
      <w:r w:rsidRPr="00C14B71">
        <w:rPr>
          <w:rFonts w:hint="eastAsia"/>
          <w:b/>
          <w:bCs/>
          <w:color w:val="000000" w:themeColor="text1"/>
          <w:kern w:val="0"/>
          <w:sz w:val="24"/>
        </w:rPr>
        <w:t>）政府补</w:t>
      </w:r>
      <w:r w:rsidR="005E48A0" w:rsidRPr="00C14B71">
        <w:rPr>
          <w:rFonts w:hint="eastAsia"/>
          <w:b/>
          <w:bCs/>
          <w:color w:val="000000" w:themeColor="text1"/>
          <w:kern w:val="0"/>
          <w:sz w:val="24"/>
        </w:rPr>
        <w:t>助</w:t>
      </w:r>
      <w:r w:rsidRPr="00C14B71">
        <w:rPr>
          <w:rFonts w:hint="eastAsia"/>
          <w:b/>
          <w:bCs/>
          <w:color w:val="000000" w:themeColor="text1"/>
          <w:kern w:val="0"/>
          <w:sz w:val="24"/>
        </w:rPr>
        <w:t>收入</w:t>
      </w:r>
      <w:r w:rsidR="003436B2" w:rsidRPr="00C14B71">
        <w:rPr>
          <w:rFonts w:hint="eastAsia"/>
          <w:b/>
          <w:bCs/>
          <w:color w:val="000000" w:themeColor="text1"/>
          <w:kern w:val="0"/>
          <w:sz w:val="24"/>
        </w:rPr>
        <w:t>等其他收益的</w:t>
      </w:r>
      <w:r w:rsidR="001E64F5" w:rsidRPr="00C14B71">
        <w:rPr>
          <w:rFonts w:hint="eastAsia"/>
          <w:b/>
          <w:bCs/>
          <w:color w:val="000000" w:themeColor="text1"/>
          <w:kern w:val="0"/>
          <w:sz w:val="24"/>
        </w:rPr>
        <w:t>影响</w:t>
      </w:r>
    </w:p>
    <w:p w14:paraId="1E15D333" w14:textId="6EA33375" w:rsidR="001E64F5" w:rsidRPr="00C14B71" w:rsidRDefault="001E64F5" w:rsidP="000A4320">
      <w:pPr>
        <w:widowControl/>
        <w:shd w:val="clear" w:color="auto" w:fill="FFFFFF"/>
        <w:topLinePunct/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C14B71">
        <w:rPr>
          <w:rFonts w:hint="eastAsia"/>
          <w:color w:val="000000" w:themeColor="text1"/>
          <w:kern w:val="0"/>
          <w:sz w:val="24"/>
        </w:rPr>
        <w:t>报告期内，公司</w:t>
      </w:r>
      <w:r w:rsidR="00A37EF7" w:rsidRPr="00C14B71">
        <w:rPr>
          <w:rFonts w:hint="eastAsia"/>
          <w:color w:val="000000" w:themeColor="text1"/>
          <w:kern w:val="0"/>
          <w:sz w:val="24"/>
        </w:rPr>
        <w:t>按</w:t>
      </w:r>
      <w:r w:rsidR="00BE55BA" w:rsidRPr="00C14B71">
        <w:rPr>
          <w:rFonts w:hint="eastAsia"/>
          <w:color w:val="000000" w:themeColor="text1"/>
          <w:kern w:val="0"/>
          <w:sz w:val="24"/>
        </w:rPr>
        <w:t>会计</w:t>
      </w:r>
      <w:r w:rsidR="00A37EF7" w:rsidRPr="00C14B71">
        <w:rPr>
          <w:rFonts w:hint="eastAsia"/>
          <w:color w:val="000000" w:themeColor="text1"/>
          <w:kern w:val="0"/>
          <w:sz w:val="24"/>
        </w:rPr>
        <w:t>准则</w:t>
      </w:r>
      <w:r w:rsidRPr="00C14B71">
        <w:rPr>
          <w:rFonts w:hint="eastAsia"/>
          <w:color w:val="000000" w:themeColor="text1"/>
          <w:kern w:val="0"/>
          <w:sz w:val="24"/>
        </w:rPr>
        <w:t>确认的政府补助</w:t>
      </w:r>
      <w:r w:rsidR="00BE55BA" w:rsidRPr="00C14B71">
        <w:rPr>
          <w:rFonts w:hint="eastAsia"/>
          <w:color w:val="000000" w:themeColor="text1"/>
          <w:kern w:val="0"/>
          <w:sz w:val="24"/>
        </w:rPr>
        <w:t>收入</w:t>
      </w:r>
      <w:r w:rsidR="003436B2" w:rsidRPr="00C14B71">
        <w:rPr>
          <w:rFonts w:hint="eastAsia"/>
          <w:color w:val="000000" w:themeColor="text1"/>
          <w:kern w:val="0"/>
          <w:sz w:val="24"/>
        </w:rPr>
        <w:t>等其他收益</w:t>
      </w:r>
      <w:r w:rsidR="00F04FCC" w:rsidRPr="00C14B71">
        <w:rPr>
          <w:rFonts w:hint="eastAsia"/>
          <w:color w:val="000000" w:themeColor="text1"/>
          <w:kern w:val="0"/>
          <w:sz w:val="24"/>
        </w:rPr>
        <w:t>预计</w:t>
      </w:r>
      <w:r w:rsidRPr="00C14B71">
        <w:rPr>
          <w:rFonts w:hint="eastAsia"/>
          <w:color w:val="000000" w:themeColor="text1"/>
          <w:kern w:val="0"/>
          <w:sz w:val="24"/>
        </w:rPr>
        <w:t>较上年同期</w:t>
      </w:r>
      <w:r w:rsidR="007F692F" w:rsidRPr="00C14B71">
        <w:rPr>
          <w:rFonts w:hint="eastAsia"/>
          <w:color w:val="000000" w:themeColor="text1"/>
          <w:kern w:val="0"/>
          <w:sz w:val="24"/>
        </w:rPr>
        <w:t>增长</w:t>
      </w:r>
      <w:r w:rsidR="007F692F" w:rsidRPr="00C14B71">
        <w:rPr>
          <w:color w:val="000000" w:themeColor="text1"/>
          <w:kern w:val="0"/>
          <w:sz w:val="24"/>
        </w:rPr>
        <w:t>787.53</w:t>
      </w:r>
      <w:r w:rsidR="00BE55BA" w:rsidRPr="00C14B71">
        <w:rPr>
          <w:rFonts w:hint="eastAsia"/>
          <w:color w:val="000000" w:themeColor="text1"/>
          <w:kern w:val="0"/>
          <w:sz w:val="24"/>
        </w:rPr>
        <w:t>万</w:t>
      </w:r>
      <w:r w:rsidR="00952F60" w:rsidRPr="00C14B71">
        <w:rPr>
          <w:rFonts w:hint="eastAsia"/>
          <w:color w:val="000000" w:themeColor="text1"/>
          <w:kern w:val="0"/>
          <w:sz w:val="24"/>
        </w:rPr>
        <w:t>元，同比</w:t>
      </w:r>
      <w:r w:rsidR="007F692F" w:rsidRPr="00C14B71">
        <w:rPr>
          <w:rFonts w:hint="eastAsia"/>
          <w:color w:val="000000" w:themeColor="text1"/>
          <w:kern w:val="0"/>
          <w:sz w:val="24"/>
        </w:rPr>
        <w:t>增加</w:t>
      </w:r>
      <w:r w:rsidR="007F692F" w:rsidRPr="00C14B71">
        <w:rPr>
          <w:color w:val="000000" w:themeColor="text1"/>
          <w:kern w:val="0"/>
          <w:sz w:val="24"/>
        </w:rPr>
        <w:t>51.59</w:t>
      </w:r>
      <w:r w:rsidR="00952F60" w:rsidRPr="00C14B71">
        <w:rPr>
          <w:color w:val="000000" w:themeColor="text1"/>
          <w:kern w:val="0"/>
          <w:sz w:val="24"/>
        </w:rPr>
        <w:t>%</w:t>
      </w:r>
      <w:r w:rsidRPr="00C14B71">
        <w:rPr>
          <w:rFonts w:hint="eastAsia"/>
          <w:color w:val="000000" w:themeColor="text1"/>
          <w:kern w:val="0"/>
          <w:sz w:val="24"/>
        </w:rPr>
        <w:t>。</w:t>
      </w:r>
    </w:p>
    <w:p w14:paraId="70AABEB0" w14:textId="330AD8E5" w:rsidR="00BD1FA6" w:rsidRPr="00C14B71" w:rsidRDefault="00BD1FA6" w:rsidP="000A4320">
      <w:pPr>
        <w:widowControl/>
        <w:shd w:val="clear" w:color="auto" w:fill="FFFFFF"/>
        <w:topLinePunct/>
        <w:spacing w:line="360" w:lineRule="auto"/>
        <w:ind w:firstLineChars="200" w:firstLine="482"/>
        <w:outlineLvl w:val="1"/>
        <w:rPr>
          <w:b/>
          <w:bCs/>
          <w:color w:val="000000" w:themeColor="text1"/>
          <w:kern w:val="0"/>
          <w:sz w:val="24"/>
        </w:rPr>
      </w:pPr>
      <w:r w:rsidRPr="00C14B71">
        <w:rPr>
          <w:rFonts w:hint="eastAsia"/>
          <w:b/>
          <w:bCs/>
          <w:color w:val="000000" w:themeColor="text1"/>
          <w:kern w:val="0"/>
          <w:sz w:val="24"/>
        </w:rPr>
        <w:t>（</w:t>
      </w:r>
      <w:r w:rsidR="006B2CE4" w:rsidRPr="00C14B71">
        <w:rPr>
          <w:rFonts w:hint="eastAsia"/>
          <w:b/>
          <w:bCs/>
          <w:color w:val="000000" w:themeColor="text1"/>
          <w:kern w:val="0"/>
          <w:sz w:val="24"/>
        </w:rPr>
        <w:t>五</w:t>
      </w:r>
      <w:r w:rsidRPr="00C14B71">
        <w:rPr>
          <w:rFonts w:hint="eastAsia"/>
          <w:b/>
          <w:bCs/>
          <w:color w:val="000000" w:themeColor="text1"/>
          <w:kern w:val="0"/>
          <w:sz w:val="24"/>
        </w:rPr>
        <w:t>）</w:t>
      </w:r>
      <w:r w:rsidR="007F692F" w:rsidRPr="00C14B71">
        <w:rPr>
          <w:rFonts w:hint="eastAsia"/>
          <w:b/>
          <w:bCs/>
          <w:color w:val="000000" w:themeColor="text1"/>
          <w:kern w:val="0"/>
          <w:sz w:val="24"/>
        </w:rPr>
        <w:t>投资收益</w:t>
      </w:r>
      <w:r w:rsidRPr="00C14B71">
        <w:rPr>
          <w:rFonts w:hint="eastAsia"/>
          <w:b/>
          <w:bCs/>
          <w:color w:val="000000" w:themeColor="text1"/>
          <w:kern w:val="0"/>
          <w:sz w:val="24"/>
        </w:rPr>
        <w:t>变动的影响</w:t>
      </w:r>
    </w:p>
    <w:p w14:paraId="1984064B" w14:textId="77C87667" w:rsidR="00BD1FA6" w:rsidRPr="004F35A7" w:rsidRDefault="00BD1FA6" w:rsidP="000A4320">
      <w:pPr>
        <w:widowControl/>
        <w:shd w:val="clear" w:color="auto" w:fill="FFFFFF"/>
        <w:topLinePunct/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C14B71">
        <w:rPr>
          <w:rFonts w:hint="eastAsia"/>
          <w:color w:val="000000" w:themeColor="text1"/>
          <w:kern w:val="0"/>
          <w:sz w:val="24"/>
        </w:rPr>
        <w:t>报告期内，公司按会计准则确认</w:t>
      </w:r>
      <w:r w:rsidR="007F692F" w:rsidRPr="00C14B71">
        <w:rPr>
          <w:rFonts w:hint="eastAsia"/>
          <w:color w:val="000000" w:themeColor="text1"/>
          <w:kern w:val="0"/>
          <w:sz w:val="24"/>
        </w:rPr>
        <w:t>的银行理财收益</w:t>
      </w:r>
      <w:r w:rsidR="00CA38FB">
        <w:rPr>
          <w:rFonts w:hint="eastAsia"/>
          <w:color w:val="000000" w:themeColor="text1"/>
          <w:kern w:val="0"/>
          <w:sz w:val="24"/>
        </w:rPr>
        <w:t>、对联营企业投资</w:t>
      </w:r>
      <w:r w:rsidR="00E83C34" w:rsidRPr="00C14B71">
        <w:rPr>
          <w:rFonts w:hint="eastAsia"/>
          <w:color w:val="000000" w:themeColor="text1"/>
          <w:kern w:val="0"/>
          <w:sz w:val="24"/>
        </w:rPr>
        <w:t>等投资收益</w:t>
      </w:r>
      <w:r w:rsidRPr="00C14B71">
        <w:rPr>
          <w:rFonts w:hint="eastAsia"/>
          <w:color w:val="000000" w:themeColor="text1"/>
          <w:kern w:val="0"/>
          <w:sz w:val="24"/>
        </w:rPr>
        <w:t>预计较上年同期</w:t>
      </w:r>
      <w:r w:rsidR="007F692F" w:rsidRPr="00C14B71">
        <w:rPr>
          <w:rFonts w:hint="eastAsia"/>
          <w:color w:val="000000" w:themeColor="text1"/>
          <w:kern w:val="0"/>
          <w:sz w:val="24"/>
        </w:rPr>
        <w:t>减少</w:t>
      </w:r>
      <w:r w:rsidR="007F692F" w:rsidRPr="00C14B71">
        <w:rPr>
          <w:color w:val="000000" w:themeColor="text1"/>
          <w:kern w:val="0"/>
          <w:sz w:val="24"/>
        </w:rPr>
        <w:t>947.16</w:t>
      </w:r>
      <w:r w:rsidRPr="00C14B71">
        <w:rPr>
          <w:rFonts w:hint="eastAsia"/>
          <w:color w:val="000000" w:themeColor="text1"/>
          <w:kern w:val="0"/>
          <w:sz w:val="24"/>
        </w:rPr>
        <w:t>万元，同比</w:t>
      </w:r>
      <w:r w:rsidR="007F692F" w:rsidRPr="00C14B71">
        <w:rPr>
          <w:rFonts w:hint="eastAsia"/>
          <w:color w:val="000000" w:themeColor="text1"/>
          <w:kern w:val="0"/>
          <w:sz w:val="24"/>
        </w:rPr>
        <w:t>减少</w:t>
      </w:r>
      <w:r w:rsidR="007F692F" w:rsidRPr="00C14B71">
        <w:rPr>
          <w:color w:val="000000" w:themeColor="text1"/>
          <w:kern w:val="0"/>
          <w:sz w:val="24"/>
        </w:rPr>
        <w:t>62.50</w:t>
      </w:r>
      <w:r w:rsidRPr="00C14B71">
        <w:rPr>
          <w:color w:val="000000" w:themeColor="text1"/>
          <w:kern w:val="0"/>
          <w:sz w:val="24"/>
        </w:rPr>
        <w:t>%</w:t>
      </w:r>
      <w:r w:rsidRPr="00C14B71">
        <w:rPr>
          <w:rFonts w:hint="eastAsia"/>
          <w:color w:val="000000" w:themeColor="text1"/>
          <w:kern w:val="0"/>
          <w:sz w:val="24"/>
        </w:rPr>
        <w:t>。</w:t>
      </w:r>
    </w:p>
    <w:p w14:paraId="4267694C" w14:textId="0BC29467" w:rsidR="006B2CE4" w:rsidRPr="00C14B71" w:rsidRDefault="006B2CE4" w:rsidP="006B2CE4">
      <w:pPr>
        <w:widowControl/>
        <w:shd w:val="clear" w:color="auto" w:fill="FFFFFF"/>
        <w:topLinePunct/>
        <w:spacing w:line="360" w:lineRule="auto"/>
        <w:ind w:firstLineChars="200" w:firstLine="482"/>
        <w:rPr>
          <w:b/>
          <w:color w:val="000000" w:themeColor="text1"/>
          <w:kern w:val="0"/>
          <w:sz w:val="24"/>
        </w:rPr>
      </w:pPr>
      <w:r w:rsidRPr="00C14B71">
        <w:rPr>
          <w:rFonts w:hint="eastAsia"/>
          <w:b/>
          <w:color w:val="000000" w:themeColor="text1"/>
          <w:kern w:val="0"/>
          <w:sz w:val="24"/>
        </w:rPr>
        <w:t>（六）资产减值损失的影响</w:t>
      </w:r>
    </w:p>
    <w:p w14:paraId="7CA50F48" w14:textId="60735317" w:rsidR="006B2CE4" w:rsidRPr="006B2CE4" w:rsidRDefault="006B2CE4" w:rsidP="006D15D9">
      <w:pPr>
        <w:widowControl/>
        <w:shd w:val="clear" w:color="auto" w:fill="FFFFFF"/>
        <w:topLinePunct/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C14B71">
        <w:rPr>
          <w:rFonts w:hint="eastAsia"/>
          <w:color w:val="000000" w:themeColor="text1"/>
          <w:kern w:val="0"/>
          <w:sz w:val="24"/>
        </w:rPr>
        <w:t>报告期内，公司计提的存货跌价准备预计较上年同期减少</w:t>
      </w:r>
      <w:r w:rsidR="00BD6B1B" w:rsidRPr="00C14B71">
        <w:rPr>
          <w:color w:val="000000" w:themeColor="text1"/>
          <w:kern w:val="0"/>
          <w:sz w:val="24"/>
        </w:rPr>
        <w:t>1</w:t>
      </w:r>
      <w:r w:rsidR="00360419">
        <w:rPr>
          <w:color w:val="000000" w:themeColor="text1"/>
          <w:kern w:val="0"/>
          <w:sz w:val="24"/>
        </w:rPr>
        <w:t>,</w:t>
      </w:r>
      <w:r w:rsidR="00BD6B1B" w:rsidRPr="00C14B71">
        <w:rPr>
          <w:color w:val="000000" w:themeColor="text1"/>
          <w:kern w:val="0"/>
          <w:sz w:val="24"/>
        </w:rPr>
        <w:t>744.46</w:t>
      </w:r>
      <w:r w:rsidRPr="00C14B71">
        <w:rPr>
          <w:rFonts w:hint="eastAsia"/>
          <w:color w:val="000000" w:themeColor="text1"/>
          <w:kern w:val="0"/>
          <w:sz w:val="24"/>
        </w:rPr>
        <w:t>万元，同比减少</w:t>
      </w:r>
      <w:r w:rsidR="00BD6B1B" w:rsidRPr="00C14B71">
        <w:rPr>
          <w:color w:val="000000" w:themeColor="text1"/>
          <w:kern w:val="0"/>
          <w:sz w:val="24"/>
        </w:rPr>
        <w:t>80.78</w:t>
      </w:r>
      <w:r w:rsidRPr="00C14B71">
        <w:rPr>
          <w:color w:val="000000" w:themeColor="text1"/>
          <w:kern w:val="0"/>
          <w:sz w:val="24"/>
        </w:rPr>
        <w:t>%</w:t>
      </w:r>
      <w:r w:rsidRPr="00C14B71">
        <w:rPr>
          <w:rFonts w:hint="eastAsia"/>
          <w:color w:val="000000" w:themeColor="text1"/>
          <w:kern w:val="0"/>
          <w:sz w:val="24"/>
        </w:rPr>
        <w:t>。</w:t>
      </w:r>
    </w:p>
    <w:p w14:paraId="22EE5C8F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0A4320">
        <w:rPr>
          <w:b/>
          <w:sz w:val="24"/>
        </w:rPr>
        <w:t>四、风险提示</w:t>
      </w:r>
    </w:p>
    <w:p w14:paraId="2D619884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本次业绩预告是公司财务部门基于自身专业判断进行的初步核算，未经注册会计师审计。截至本公告披露日，公司不存在影响本次业绩预告内容准确性的重</w:t>
      </w:r>
      <w:r w:rsidRPr="000A4320">
        <w:rPr>
          <w:sz w:val="24"/>
        </w:rPr>
        <w:lastRenderedPageBreak/>
        <w:t>大不确定因素。</w:t>
      </w:r>
    </w:p>
    <w:p w14:paraId="1424CD22" w14:textId="77777777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0A4320">
        <w:rPr>
          <w:b/>
          <w:sz w:val="24"/>
        </w:rPr>
        <w:t>五、其他说明事项</w:t>
      </w:r>
    </w:p>
    <w:p w14:paraId="62DE4846" w14:textId="40363B6B" w:rsidR="0090012A" w:rsidRPr="000A4320" w:rsidRDefault="00BF7D42" w:rsidP="000A4320">
      <w:pPr>
        <w:topLinePunct/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A4320">
        <w:rPr>
          <w:sz w:val="24"/>
        </w:rPr>
        <w:t>以上预告数据仅为初步核算数据，未经会计师事务所审计，具体准确的财务数据以公司正式披露的</w:t>
      </w:r>
      <w:r w:rsidR="00C847D8" w:rsidRPr="000A4320">
        <w:rPr>
          <w:sz w:val="24"/>
        </w:rPr>
        <w:t>2025</w:t>
      </w:r>
      <w:r w:rsidRPr="000A4320">
        <w:rPr>
          <w:sz w:val="24"/>
        </w:rPr>
        <w:t>年年度报告为准，敬请广大投资者注意投资风险。</w:t>
      </w:r>
    </w:p>
    <w:p w14:paraId="048784BE" w14:textId="77777777" w:rsidR="0090012A" w:rsidRPr="000A4320" w:rsidRDefault="00BF7D42" w:rsidP="000A4320">
      <w:pPr>
        <w:widowControl/>
        <w:topLinePunct/>
        <w:spacing w:line="360" w:lineRule="auto"/>
        <w:ind w:firstLineChars="200" w:firstLine="480"/>
        <w:rPr>
          <w:color w:val="000000"/>
          <w:kern w:val="0"/>
          <w:sz w:val="24"/>
        </w:rPr>
      </w:pPr>
      <w:r w:rsidRPr="000A4320">
        <w:rPr>
          <w:color w:val="000000"/>
          <w:kern w:val="0"/>
          <w:sz w:val="24"/>
        </w:rPr>
        <w:t>特此公告。</w:t>
      </w:r>
    </w:p>
    <w:p w14:paraId="5DFC224C" w14:textId="77777777" w:rsidR="0090012A" w:rsidRPr="00BE55BA" w:rsidRDefault="0090012A" w:rsidP="000A4320">
      <w:pPr>
        <w:widowControl/>
        <w:topLinePunct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2CBC9D12" w14:textId="77777777" w:rsidR="0090012A" w:rsidRPr="00BE55BA" w:rsidRDefault="0090012A" w:rsidP="00BE55BA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</w:p>
    <w:p w14:paraId="5AE27EC0" w14:textId="77777777" w:rsidR="0090012A" w:rsidRPr="00BE55BA" w:rsidRDefault="00BF7D42" w:rsidP="00BE55BA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BE55BA">
        <w:rPr>
          <w:rFonts w:ascii="宋体" w:hAnsi="宋体" w:hint="eastAsia"/>
          <w:sz w:val="24"/>
        </w:rPr>
        <w:t>苏州国芯科技</w:t>
      </w:r>
      <w:r w:rsidRPr="00BE55BA">
        <w:rPr>
          <w:rFonts w:ascii="宋体" w:hAnsi="宋体"/>
          <w:sz w:val="24"/>
        </w:rPr>
        <w:t>股份有限公司</w:t>
      </w:r>
    </w:p>
    <w:p w14:paraId="3E2562F8" w14:textId="77777777" w:rsidR="0090012A" w:rsidRPr="00BE55BA" w:rsidRDefault="00BF7D42" w:rsidP="00BE55BA">
      <w:pPr>
        <w:spacing w:line="360" w:lineRule="auto"/>
        <w:ind w:firstLineChars="2700" w:firstLine="6480"/>
        <w:rPr>
          <w:rFonts w:ascii="宋体" w:hAnsi="宋体"/>
          <w:sz w:val="24"/>
        </w:rPr>
      </w:pPr>
      <w:r w:rsidRPr="00BE55BA">
        <w:rPr>
          <w:rFonts w:ascii="宋体" w:hAnsi="宋体"/>
          <w:sz w:val="24"/>
        </w:rPr>
        <w:t xml:space="preserve">董事会      </w:t>
      </w:r>
      <w:r w:rsidRPr="00BE55BA">
        <w:rPr>
          <w:rFonts w:ascii="宋体" w:hAnsi="宋体" w:hint="eastAsia"/>
          <w:sz w:val="24"/>
        </w:rPr>
        <w:t xml:space="preserve"> </w:t>
      </w:r>
      <w:r w:rsidRPr="00BE55BA">
        <w:rPr>
          <w:rFonts w:ascii="宋体" w:hAnsi="宋体"/>
          <w:sz w:val="24"/>
        </w:rPr>
        <w:t xml:space="preserve">     </w:t>
      </w:r>
    </w:p>
    <w:p w14:paraId="3B52880E" w14:textId="276013BC" w:rsidR="0090012A" w:rsidRPr="00BE55BA" w:rsidRDefault="00C847D8" w:rsidP="00BE55BA">
      <w:pPr>
        <w:spacing w:line="360" w:lineRule="auto"/>
        <w:ind w:firstLineChars="2500" w:firstLine="60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2026</w:t>
      </w:r>
      <w:r w:rsidR="00BF7D42" w:rsidRPr="00BE55BA">
        <w:rPr>
          <w:rFonts w:ascii="宋体" w:hAnsi="宋体" w:hint="eastAsia"/>
          <w:sz w:val="24"/>
        </w:rPr>
        <w:t>年</w:t>
      </w:r>
      <w:r w:rsidR="00BF7D42" w:rsidRPr="00BE55BA">
        <w:rPr>
          <w:rFonts w:ascii="宋体" w:hAnsi="宋体"/>
          <w:sz w:val="24"/>
        </w:rPr>
        <w:t>1</w:t>
      </w:r>
      <w:r w:rsidR="00BF7D42" w:rsidRPr="00BE55BA">
        <w:rPr>
          <w:rFonts w:ascii="宋体" w:hAnsi="宋体" w:hint="eastAsia"/>
          <w:sz w:val="24"/>
        </w:rPr>
        <w:t>月</w:t>
      </w:r>
      <w:r w:rsidR="00C12903" w:rsidRPr="00BE55BA">
        <w:rPr>
          <w:rFonts w:ascii="宋体" w:hAnsi="宋体" w:hint="eastAsia"/>
          <w:sz w:val="24"/>
        </w:rPr>
        <w:t>2</w:t>
      </w:r>
      <w:r w:rsidR="00C12903">
        <w:rPr>
          <w:rFonts w:ascii="宋体" w:hAnsi="宋体"/>
          <w:sz w:val="24"/>
        </w:rPr>
        <w:t>3</w:t>
      </w:r>
      <w:r w:rsidR="00BF7D42" w:rsidRPr="00BE55BA">
        <w:rPr>
          <w:rFonts w:ascii="宋体" w:hAnsi="宋体" w:hint="eastAsia"/>
          <w:sz w:val="24"/>
        </w:rPr>
        <w:t>日</w:t>
      </w:r>
    </w:p>
    <w:sectPr w:rsidR="0090012A" w:rsidRPr="00BE55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EAAD21" w16cex:dateUtc="2026-01-22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C5B517" w16cid:durableId="70C5B517"/>
  <w16cid:commentId w16cid:paraId="2A389F80" w16cid:durableId="07EAAD21"/>
  <w16cid:commentId w16cid:paraId="58B04111" w16cid:durableId="58B04111"/>
  <w16cid:commentId w16cid:paraId="4D79D1CC" w16cid:durableId="4D79D1C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F09C2" w14:textId="77777777" w:rsidR="00414720" w:rsidRDefault="00414720">
      <w:r>
        <w:separator/>
      </w:r>
    </w:p>
  </w:endnote>
  <w:endnote w:type="continuationSeparator" w:id="0">
    <w:p w14:paraId="767CD6BB" w14:textId="77777777" w:rsidR="00414720" w:rsidRDefault="0041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263105"/>
    </w:sdtPr>
    <w:sdtEndPr/>
    <w:sdtContent>
      <w:p w14:paraId="7E8503FD" w14:textId="0C3356AE" w:rsidR="0090012A" w:rsidRDefault="00BF7D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EB" w:rsidRPr="00AB3FEB">
          <w:rPr>
            <w:noProof/>
            <w:lang w:val="zh-CN"/>
          </w:rPr>
          <w:t>3</w:t>
        </w:r>
        <w:r>
          <w:fldChar w:fldCharType="end"/>
        </w:r>
      </w:p>
    </w:sdtContent>
  </w:sdt>
  <w:p w14:paraId="4FF6F413" w14:textId="77777777" w:rsidR="0090012A" w:rsidRDefault="00900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A1CAA" w14:textId="77777777" w:rsidR="00414720" w:rsidRDefault="00414720">
      <w:r>
        <w:separator/>
      </w:r>
    </w:p>
  </w:footnote>
  <w:footnote w:type="continuationSeparator" w:id="0">
    <w:p w14:paraId="33FA1E6F" w14:textId="77777777" w:rsidR="00414720" w:rsidRDefault="0041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0E4BB"/>
    <w:multiLevelType w:val="singleLevel"/>
    <w:tmpl w:val="7540E4B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NTgxOTcwMGQ1ZWE3MzY2YTk5NjViMmU5NmRlYzYifQ=="/>
  </w:docVars>
  <w:rsids>
    <w:rsidRoot w:val="00CF5E76"/>
    <w:rsid w:val="00001528"/>
    <w:rsid w:val="000024FC"/>
    <w:rsid w:val="0000387C"/>
    <w:rsid w:val="00005ACF"/>
    <w:rsid w:val="00013C6E"/>
    <w:rsid w:val="00013D82"/>
    <w:rsid w:val="0001513C"/>
    <w:rsid w:val="000158F4"/>
    <w:rsid w:val="00016D01"/>
    <w:rsid w:val="0002320C"/>
    <w:rsid w:val="00024A98"/>
    <w:rsid w:val="00025B83"/>
    <w:rsid w:val="000315B7"/>
    <w:rsid w:val="000323DE"/>
    <w:rsid w:val="00041AB7"/>
    <w:rsid w:val="00042F6E"/>
    <w:rsid w:val="00046739"/>
    <w:rsid w:val="00047828"/>
    <w:rsid w:val="00050E25"/>
    <w:rsid w:val="000558B1"/>
    <w:rsid w:val="000608EF"/>
    <w:rsid w:val="00061EA0"/>
    <w:rsid w:val="00063CED"/>
    <w:rsid w:val="000728E1"/>
    <w:rsid w:val="00076259"/>
    <w:rsid w:val="000848A3"/>
    <w:rsid w:val="00085F4E"/>
    <w:rsid w:val="000A4320"/>
    <w:rsid w:val="000B5124"/>
    <w:rsid w:val="000C6B6A"/>
    <w:rsid w:val="000D08AA"/>
    <w:rsid w:val="000D5478"/>
    <w:rsid w:val="000D6242"/>
    <w:rsid w:val="000E35EE"/>
    <w:rsid w:val="000E4932"/>
    <w:rsid w:val="000F0405"/>
    <w:rsid w:val="000F3177"/>
    <w:rsid w:val="000F71D6"/>
    <w:rsid w:val="000F7C0B"/>
    <w:rsid w:val="00102B85"/>
    <w:rsid w:val="001040AD"/>
    <w:rsid w:val="00104B76"/>
    <w:rsid w:val="00107BFE"/>
    <w:rsid w:val="00113034"/>
    <w:rsid w:val="001262BE"/>
    <w:rsid w:val="00132BFA"/>
    <w:rsid w:val="00132E55"/>
    <w:rsid w:val="001344E9"/>
    <w:rsid w:val="00154B93"/>
    <w:rsid w:val="00155841"/>
    <w:rsid w:val="00164C44"/>
    <w:rsid w:val="00171CDE"/>
    <w:rsid w:val="00193B7D"/>
    <w:rsid w:val="00195E4C"/>
    <w:rsid w:val="00197BEA"/>
    <w:rsid w:val="001A14E7"/>
    <w:rsid w:val="001A3666"/>
    <w:rsid w:val="001B1A90"/>
    <w:rsid w:val="001B36C0"/>
    <w:rsid w:val="001C7AFA"/>
    <w:rsid w:val="001D551F"/>
    <w:rsid w:val="001E1EFC"/>
    <w:rsid w:val="001E28A1"/>
    <w:rsid w:val="001E64F5"/>
    <w:rsid w:val="001F220B"/>
    <w:rsid w:val="001F37A9"/>
    <w:rsid w:val="002115D5"/>
    <w:rsid w:val="00221505"/>
    <w:rsid w:val="00221AB6"/>
    <w:rsid w:val="00221C6D"/>
    <w:rsid w:val="00225F47"/>
    <w:rsid w:val="00226430"/>
    <w:rsid w:val="00241764"/>
    <w:rsid w:val="0024268A"/>
    <w:rsid w:val="002465D9"/>
    <w:rsid w:val="00252AFA"/>
    <w:rsid w:val="0025342C"/>
    <w:rsid w:val="002540D9"/>
    <w:rsid w:val="00266302"/>
    <w:rsid w:val="002835CC"/>
    <w:rsid w:val="0028588E"/>
    <w:rsid w:val="00286710"/>
    <w:rsid w:val="00291C27"/>
    <w:rsid w:val="00296CDE"/>
    <w:rsid w:val="002A11E8"/>
    <w:rsid w:val="002A7E90"/>
    <w:rsid w:val="002B1084"/>
    <w:rsid w:val="002B2BC6"/>
    <w:rsid w:val="002B5AC9"/>
    <w:rsid w:val="002B6140"/>
    <w:rsid w:val="002C36B7"/>
    <w:rsid w:val="002C3A88"/>
    <w:rsid w:val="002C5A30"/>
    <w:rsid w:val="002C718F"/>
    <w:rsid w:val="002D49DD"/>
    <w:rsid w:val="002E30A9"/>
    <w:rsid w:val="002E39CE"/>
    <w:rsid w:val="002E603D"/>
    <w:rsid w:val="002E6466"/>
    <w:rsid w:val="00300FFF"/>
    <w:rsid w:val="00313059"/>
    <w:rsid w:val="00314F9F"/>
    <w:rsid w:val="00316061"/>
    <w:rsid w:val="00316289"/>
    <w:rsid w:val="003228FC"/>
    <w:rsid w:val="00324225"/>
    <w:rsid w:val="00333DF9"/>
    <w:rsid w:val="0033513A"/>
    <w:rsid w:val="003436B2"/>
    <w:rsid w:val="00344F2E"/>
    <w:rsid w:val="003471DD"/>
    <w:rsid w:val="003473A0"/>
    <w:rsid w:val="003553D0"/>
    <w:rsid w:val="00356D0A"/>
    <w:rsid w:val="00360419"/>
    <w:rsid w:val="00370299"/>
    <w:rsid w:val="00373498"/>
    <w:rsid w:val="0037372C"/>
    <w:rsid w:val="00375684"/>
    <w:rsid w:val="00377D89"/>
    <w:rsid w:val="003927AA"/>
    <w:rsid w:val="00396D05"/>
    <w:rsid w:val="003A228A"/>
    <w:rsid w:val="003A6957"/>
    <w:rsid w:val="003B0B66"/>
    <w:rsid w:val="003B694D"/>
    <w:rsid w:val="003D41DE"/>
    <w:rsid w:val="003D5718"/>
    <w:rsid w:val="003D5D1C"/>
    <w:rsid w:val="003E12EA"/>
    <w:rsid w:val="003E7B50"/>
    <w:rsid w:val="003F0812"/>
    <w:rsid w:val="003F3C68"/>
    <w:rsid w:val="00400C7F"/>
    <w:rsid w:val="00402AFA"/>
    <w:rsid w:val="0040472F"/>
    <w:rsid w:val="004056E7"/>
    <w:rsid w:val="00414720"/>
    <w:rsid w:val="00415210"/>
    <w:rsid w:val="00416CD1"/>
    <w:rsid w:val="00416FB8"/>
    <w:rsid w:val="00423162"/>
    <w:rsid w:val="00425ED1"/>
    <w:rsid w:val="0042739E"/>
    <w:rsid w:val="00432B66"/>
    <w:rsid w:val="00433B85"/>
    <w:rsid w:val="00434FD3"/>
    <w:rsid w:val="00435780"/>
    <w:rsid w:val="004501C4"/>
    <w:rsid w:val="00453AE6"/>
    <w:rsid w:val="00457DC3"/>
    <w:rsid w:val="00476C1E"/>
    <w:rsid w:val="00481B12"/>
    <w:rsid w:val="00484E96"/>
    <w:rsid w:val="0049296F"/>
    <w:rsid w:val="00493DE6"/>
    <w:rsid w:val="004A4B18"/>
    <w:rsid w:val="004B53FC"/>
    <w:rsid w:val="004B72F8"/>
    <w:rsid w:val="004C08A3"/>
    <w:rsid w:val="004C2B88"/>
    <w:rsid w:val="004C413A"/>
    <w:rsid w:val="004D1042"/>
    <w:rsid w:val="004D33EA"/>
    <w:rsid w:val="004D4CEE"/>
    <w:rsid w:val="004E4871"/>
    <w:rsid w:val="004E7C8C"/>
    <w:rsid w:val="004F35A7"/>
    <w:rsid w:val="004F46AB"/>
    <w:rsid w:val="004F7B3D"/>
    <w:rsid w:val="00520BFF"/>
    <w:rsid w:val="005248FC"/>
    <w:rsid w:val="005262A2"/>
    <w:rsid w:val="005303CA"/>
    <w:rsid w:val="0053582C"/>
    <w:rsid w:val="00537E80"/>
    <w:rsid w:val="00540F28"/>
    <w:rsid w:val="005410B4"/>
    <w:rsid w:val="0056068D"/>
    <w:rsid w:val="00571A23"/>
    <w:rsid w:val="005743E1"/>
    <w:rsid w:val="00577F54"/>
    <w:rsid w:val="0058249A"/>
    <w:rsid w:val="00583086"/>
    <w:rsid w:val="0058417A"/>
    <w:rsid w:val="00591BCC"/>
    <w:rsid w:val="0059651E"/>
    <w:rsid w:val="005974EF"/>
    <w:rsid w:val="005A228A"/>
    <w:rsid w:val="005A5F44"/>
    <w:rsid w:val="005B0FB9"/>
    <w:rsid w:val="005C78DC"/>
    <w:rsid w:val="005D7675"/>
    <w:rsid w:val="005E48A0"/>
    <w:rsid w:val="005E5367"/>
    <w:rsid w:val="005F5865"/>
    <w:rsid w:val="00602C70"/>
    <w:rsid w:val="00602DF6"/>
    <w:rsid w:val="00605338"/>
    <w:rsid w:val="0061303E"/>
    <w:rsid w:val="00621819"/>
    <w:rsid w:val="006262D2"/>
    <w:rsid w:val="00626466"/>
    <w:rsid w:val="00633B32"/>
    <w:rsid w:val="00634599"/>
    <w:rsid w:val="0064167D"/>
    <w:rsid w:val="0064561F"/>
    <w:rsid w:val="006547D8"/>
    <w:rsid w:val="00656A31"/>
    <w:rsid w:val="00657516"/>
    <w:rsid w:val="006617B0"/>
    <w:rsid w:val="006635FD"/>
    <w:rsid w:val="00670D6F"/>
    <w:rsid w:val="0067163B"/>
    <w:rsid w:val="006734B8"/>
    <w:rsid w:val="006755A7"/>
    <w:rsid w:val="0067724E"/>
    <w:rsid w:val="00693339"/>
    <w:rsid w:val="006942B0"/>
    <w:rsid w:val="006A23D6"/>
    <w:rsid w:val="006A4481"/>
    <w:rsid w:val="006A556D"/>
    <w:rsid w:val="006A6F66"/>
    <w:rsid w:val="006B2303"/>
    <w:rsid w:val="006B2BFD"/>
    <w:rsid w:val="006B2CE4"/>
    <w:rsid w:val="006B3D6B"/>
    <w:rsid w:val="006B52BB"/>
    <w:rsid w:val="006C3668"/>
    <w:rsid w:val="006D0596"/>
    <w:rsid w:val="006D15D9"/>
    <w:rsid w:val="006D45FD"/>
    <w:rsid w:val="006D6A0F"/>
    <w:rsid w:val="006E2DE7"/>
    <w:rsid w:val="006E5D7A"/>
    <w:rsid w:val="006F689A"/>
    <w:rsid w:val="00702D1D"/>
    <w:rsid w:val="00703C5E"/>
    <w:rsid w:val="00703EDD"/>
    <w:rsid w:val="00714732"/>
    <w:rsid w:val="00730559"/>
    <w:rsid w:val="007323AB"/>
    <w:rsid w:val="007514AD"/>
    <w:rsid w:val="007522C9"/>
    <w:rsid w:val="00756012"/>
    <w:rsid w:val="00757917"/>
    <w:rsid w:val="00764B51"/>
    <w:rsid w:val="00766705"/>
    <w:rsid w:val="00783982"/>
    <w:rsid w:val="00787FC4"/>
    <w:rsid w:val="0079294A"/>
    <w:rsid w:val="00792B6E"/>
    <w:rsid w:val="0079336B"/>
    <w:rsid w:val="007979CA"/>
    <w:rsid w:val="007A083D"/>
    <w:rsid w:val="007A7108"/>
    <w:rsid w:val="007B01D8"/>
    <w:rsid w:val="007B3742"/>
    <w:rsid w:val="007B61A8"/>
    <w:rsid w:val="007C44E3"/>
    <w:rsid w:val="007D5610"/>
    <w:rsid w:val="007D637A"/>
    <w:rsid w:val="007E6D0E"/>
    <w:rsid w:val="007F009A"/>
    <w:rsid w:val="007F080C"/>
    <w:rsid w:val="007F27B4"/>
    <w:rsid w:val="007F39C9"/>
    <w:rsid w:val="007F692F"/>
    <w:rsid w:val="00811DCF"/>
    <w:rsid w:val="008129A3"/>
    <w:rsid w:val="00813BA8"/>
    <w:rsid w:val="00814009"/>
    <w:rsid w:val="00822DB4"/>
    <w:rsid w:val="00823514"/>
    <w:rsid w:val="00824463"/>
    <w:rsid w:val="008253B4"/>
    <w:rsid w:val="00827709"/>
    <w:rsid w:val="0083152B"/>
    <w:rsid w:val="00843574"/>
    <w:rsid w:val="008475D8"/>
    <w:rsid w:val="00851546"/>
    <w:rsid w:val="0085241B"/>
    <w:rsid w:val="00856B22"/>
    <w:rsid w:val="00860686"/>
    <w:rsid w:val="00865146"/>
    <w:rsid w:val="008714DC"/>
    <w:rsid w:val="00871991"/>
    <w:rsid w:val="00876D68"/>
    <w:rsid w:val="00877BE5"/>
    <w:rsid w:val="00882714"/>
    <w:rsid w:val="00891FB9"/>
    <w:rsid w:val="008A08EA"/>
    <w:rsid w:val="008A1FAA"/>
    <w:rsid w:val="008A7D94"/>
    <w:rsid w:val="008B3DA2"/>
    <w:rsid w:val="008B5BF2"/>
    <w:rsid w:val="008D0365"/>
    <w:rsid w:val="008D2D54"/>
    <w:rsid w:val="008D77C1"/>
    <w:rsid w:val="008E4801"/>
    <w:rsid w:val="008E55E0"/>
    <w:rsid w:val="008E5929"/>
    <w:rsid w:val="008F139E"/>
    <w:rsid w:val="008F448E"/>
    <w:rsid w:val="008F515B"/>
    <w:rsid w:val="0090012A"/>
    <w:rsid w:val="00903221"/>
    <w:rsid w:val="00904090"/>
    <w:rsid w:val="00917F9A"/>
    <w:rsid w:val="00921083"/>
    <w:rsid w:val="0092689D"/>
    <w:rsid w:val="00926FCE"/>
    <w:rsid w:val="00940E13"/>
    <w:rsid w:val="00943CBF"/>
    <w:rsid w:val="00950C62"/>
    <w:rsid w:val="009511DE"/>
    <w:rsid w:val="00952F60"/>
    <w:rsid w:val="0095384C"/>
    <w:rsid w:val="009546F3"/>
    <w:rsid w:val="00956670"/>
    <w:rsid w:val="00960E96"/>
    <w:rsid w:val="00962294"/>
    <w:rsid w:val="0096564D"/>
    <w:rsid w:val="00966A2E"/>
    <w:rsid w:val="00971DA5"/>
    <w:rsid w:val="0097292E"/>
    <w:rsid w:val="00975373"/>
    <w:rsid w:val="009813C7"/>
    <w:rsid w:val="009A0738"/>
    <w:rsid w:val="009A55E0"/>
    <w:rsid w:val="009A5A7E"/>
    <w:rsid w:val="009B291F"/>
    <w:rsid w:val="009B4D9A"/>
    <w:rsid w:val="009B6B20"/>
    <w:rsid w:val="009D07AE"/>
    <w:rsid w:val="009D07C0"/>
    <w:rsid w:val="009D4731"/>
    <w:rsid w:val="009D5300"/>
    <w:rsid w:val="009E57B5"/>
    <w:rsid w:val="009F0BC3"/>
    <w:rsid w:val="009F3401"/>
    <w:rsid w:val="009F6337"/>
    <w:rsid w:val="009F728F"/>
    <w:rsid w:val="009F77CA"/>
    <w:rsid w:val="00A00989"/>
    <w:rsid w:val="00A2643E"/>
    <w:rsid w:val="00A30AD8"/>
    <w:rsid w:val="00A37EF7"/>
    <w:rsid w:val="00A453CD"/>
    <w:rsid w:val="00A5251C"/>
    <w:rsid w:val="00A527D3"/>
    <w:rsid w:val="00A54FCC"/>
    <w:rsid w:val="00A56F17"/>
    <w:rsid w:val="00A654AC"/>
    <w:rsid w:val="00A66FA7"/>
    <w:rsid w:val="00A7734A"/>
    <w:rsid w:val="00A8086E"/>
    <w:rsid w:val="00A9097B"/>
    <w:rsid w:val="00AA3558"/>
    <w:rsid w:val="00AB320A"/>
    <w:rsid w:val="00AB3FEB"/>
    <w:rsid w:val="00AC067A"/>
    <w:rsid w:val="00AC0DA8"/>
    <w:rsid w:val="00AC4FE0"/>
    <w:rsid w:val="00AC6F60"/>
    <w:rsid w:val="00AC76BA"/>
    <w:rsid w:val="00AD3D4D"/>
    <w:rsid w:val="00AD52CB"/>
    <w:rsid w:val="00AD6B4A"/>
    <w:rsid w:val="00AD6B50"/>
    <w:rsid w:val="00B06989"/>
    <w:rsid w:val="00B07033"/>
    <w:rsid w:val="00B11725"/>
    <w:rsid w:val="00B144EE"/>
    <w:rsid w:val="00B1595D"/>
    <w:rsid w:val="00B212BD"/>
    <w:rsid w:val="00B32DAB"/>
    <w:rsid w:val="00B356CD"/>
    <w:rsid w:val="00B4273B"/>
    <w:rsid w:val="00B5782C"/>
    <w:rsid w:val="00B603AE"/>
    <w:rsid w:val="00B60589"/>
    <w:rsid w:val="00B61234"/>
    <w:rsid w:val="00B80946"/>
    <w:rsid w:val="00B85C09"/>
    <w:rsid w:val="00B976B7"/>
    <w:rsid w:val="00BA5896"/>
    <w:rsid w:val="00BB36E6"/>
    <w:rsid w:val="00BC02A5"/>
    <w:rsid w:val="00BC0C10"/>
    <w:rsid w:val="00BC5ABB"/>
    <w:rsid w:val="00BC6009"/>
    <w:rsid w:val="00BC700C"/>
    <w:rsid w:val="00BD1D83"/>
    <w:rsid w:val="00BD1FA6"/>
    <w:rsid w:val="00BD6B1B"/>
    <w:rsid w:val="00BE09BE"/>
    <w:rsid w:val="00BE250B"/>
    <w:rsid w:val="00BE44C0"/>
    <w:rsid w:val="00BE55BA"/>
    <w:rsid w:val="00BF522A"/>
    <w:rsid w:val="00BF6250"/>
    <w:rsid w:val="00BF6F6C"/>
    <w:rsid w:val="00BF7D42"/>
    <w:rsid w:val="00C02618"/>
    <w:rsid w:val="00C02725"/>
    <w:rsid w:val="00C06AAF"/>
    <w:rsid w:val="00C11332"/>
    <w:rsid w:val="00C12903"/>
    <w:rsid w:val="00C14B71"/>
    <w:rsid w:val="00C16799"/>
    <w:rsid w:val="00C2279E"/>
    <w:rsid w:val="00C2280E"/>
    <w:rsid w:val="00C24ED9"/>
    <w:rsid w:val="00C329DC"/>
    <w:rsid w:val="00C34061"/>
    <w:rsid w:val="00C344E1"/>
    <w:rsid w:val="00C37A56"/>
    <w:rsid w:val="00C4070D"/>
    <w:rsid w:val="00C53D28"/>
    <w:rsid w:val="00C635FC"/>
    <w:rsid w:val="00C70747"/>
    <w:rsid w:val="00C719E9"/>
    <w:rsid w:val="00C8061F"/>
    <w:rsid w:val="00C84377"/>
    <w:rsid w:val="00C847D8"/>
    <w:rsid w:val="00C96101"/>
    <w:rsid w:val="00CA287C"/>
    <w:rsid w:val="00CA38FB"/>
    <w:rsid w:val="00CB5390"/>
    <w:rsid w:val="00CB6B3B"/>
    <w:rsid w:val="00CC1FD0"/>
    <w:rsid w:val="00CC7376"/>
    <w:rsid w:val="00CD7EF7"/>
    <w:rsid w:val="00CE07F6"/>
    <w:rsid w:val="00CE0CA1"/>
    <w:rsid w:val="00CE745A"/>
    <w:rsid w:val="00CF0AE2"/>
    <w:rsid w:val="00CF1F0B"/>
    <w:rsid w:val="00CF5E76"/>
    <w:rsid w:val="00D05539"/>
    <w:rsid w:val="00D06055"/>
    <w:rsid w:val="00D240B1"/>
    <w:rsid w:val="00D301F0"/>
    <w:rsid w:val="00D40242"/>
    <w:rsid w:val="00D512BC"/>
    <w:rsid w:val="00D705DD"/>
    <w:rsid w:val="00D77821"/>
    <w:rsid w:val="00D8160D"/>
    <w:rsid w:val="00D82123"/>
    <w:rsid w:val="00D85A61"/>
    <w:rsid w:val="00D900F2"/>
    <w:rsid w:val="00D902FA"/>
    <w:rsid w:val="00D92C83"/>
    <w:rsid w:val="00DA1A72"/>
    <w:rsid w:val="00DA5D08"/>
    <w:rsid w:val="00DB72EC"/>
    <w:rsid w:val="00DC2B2B"/>
    <w:rsid w:val="00DC3C30"/>
    <w:rsid w:val="00DD058C"/>
    <w:rsid w:val="00DD1F68"/>
    <w:rsid w:val="00E002B6"/>
    <w:rsid w:val="00E077FF"/>
    <w:rsid w:val="00E11FB2"/>
    <w:rsid w:val="00E127F2"/>
    <w:rsid w:val="00E14FF6"/>
    <w:rsid w:val="00E16AF7"/>
    <w:rsid w:val="00E20C90"/>
    <w:rsid w:val="00E27120"/>
    <w:rsid w:val="00E324B9"/>
    <w:rsid w:val="00E359B0"/>
    <w:rsid w:val="00E37358"/>
    <w:rsid w:val="00E41960"/>
    <w:rsid w:val="00E44818"/>
    <w:rsid w:val="00E52887"/>
    <w:rsid w:val="00E53278"/>
    <w:rsid w:val="00E56CA1"/>
    <w:rsid w:val="00E66F90"/>
    <w:rsid w:val="00E73758"/>
    <w:rsid w:val="00E83C34"/>
    <w:rsid w:val="00E86A4C"/>
    <w:rsid w:val="00E86BA5"/>
    <w:rsid w:val="00EA3AF4"/>
    <w:rsid w:val="00EC316E"/>
    <w:rsid w:val="00EC7A30"/>
    <w:rsid w:val="00EE0083"/>
    <w:rsid w:val="00EE6460"/>
    <w:rsid w:val="00EF4381"/>
    <w:rsid w:val="00F010D9"/>
    <w:rsid w:val="00F04FCC"/>
    <w:rsid w:val="00F07770"/>
    <w:rsid w:val="00F07827"/>
    <w:rsid w:val="00F15223"/>
    <w:rsid w:val="00F2070B"/>
    <w:rsid w:val="00F3076A"/>
    <w:rsid w:val="00F32A17"/>
    <w:rsid w:val="00F45C49"/>
    <w:rsid w:val="00F6120B"/>
    <w:rsid w:val="00F642CD"/>
    <w:rsid w:val="00F64BCE"/>
    <w:rsid w:val="00F72142"/>
    <w:rsid w:val="00F73376"/>
    <w:rsid w:val="00F73AEB"/>
    <w:rsid w:val="00F811DA"/>
    <w:rsid w:val="00F904FB"/>
    <w:rsid w:val="00F90FCF"/>
    <w:rsid w:val="00F93027"/>
    <w:rsid w:val="00F93F24"/>
    <w:rsid w:val="00F952F5"/>
    <w:rsid w:val="00FA0E5C"/>
    <w:rsid w:val="00FA2CDB"/>
    <w:rsid w:val="00FA3BB4"/>
    <w:rsid w:val="00FA3D4A"/>
    <w:rsid w:val="00FB0540"/>
    <w:rsid w:val="00FB1337"/>
    <w:rsid w:val="00FB355D"/>
    <w:rsid w:val="00FB577D"/>
    <w:rsid w:val="00FC0BD7"/>
    <w:rsid w:val="00FC354D"/>
    <w:rsid w:val="00FC5BF4"/>
    <w:rsid w:val="00FD6295"/>
    <w:rsid w:val="00FE0878"/>
    <w:rsid w:val="00FE0F65"/>
    <w:rsid w:val="00FE1AAC"/>
    <w:rsid w:val="00FE636E"/>
    <w:rsid w:val="00FE6C89"/>
    <w:rsid w:val="00FF2BB8"/>
    <w:rsid w:val="00FF7DAC"/>
    <w:rsid w:val="160A4877"/>
    <w:rsid w:val="203A6884"/>
    <w:rsid w:val="38C5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8D072"/>
  <w15:docId w15:val="{D47E4539-CF73-4FE9-83E6-FFFCB2B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1E64F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1473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1473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1473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473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14732"/>
    <w:rPr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"/>
    <w:rsid w:val="001E64F5"/>
    <w:rPr>
      <w:rFonts w:ascii="宋体" w:hAnsi="宋体" w:cs="宋体"/>
      <w:b/>
      <w:bCs/>
      <w:sz w:val="36"/>
      <w:szCs w:val="36"/>
    </w:rPr>
  </w:style>
  <w:style w:type="paragraph" w:styleId="af0">
    <w:name w:val="Revision"/>
    <w:hidden/>
    <w:uiPriority w:val="99"/>
    <w:semiHidden/>
    <w:rsid w:val="00BF6F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82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31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527C-C76C-450B-8617-406639C5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小刚</dc:creator>
  <cp:lastModifiedBy>ytliu</cp:lastModifiedBy>
  <cp:revision>33</cp:revision>
  <dcterms:created xsi:type="dcterms:W3CDTF">2026-01-22T07:33:00Z</dcterms:created>
  <dcterms:modified xsi:type="dcterms:W3CDTF">2026-01-22T10:01:00Z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43AB4F01324C482EB655D298895E240C_12</vt:lpwstr>
  </property>
</Properties>
</file>